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B581B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Bulletin of Taras Shevchenko National University of Kyiv. Physical and Mathematical Sciences</w:t>
      </w:r>
    </w:p>
    <w:p w14:paraId="176FF22E" w14:textId="77777777" w:rsidR="00497306" w:rsidRDefault="00497306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  <w:tab w:val="center" w:pos="4536"/>
          <w:tab w:val="right" w:pos="9072"/>
        </w:tabs>
        <w:spacing w:after="0" w:line="240" w:lineRule="auto"/>
        <w:rPr>
          <w:rFonts w:ascii="Arial" w:eastAsia="Arial" w:hAnsi="Arial" w:cs="Arial"/>
          <w:b/>
          <w:color w:val="434343"/>
          <w:sz w:val="18"/>
          <w:szCs w:val="18"/>
        </w:rPr>
      </w:pPr>
    </w:p>
    <w:p w14:paraId="3CAA979E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УДК 519.2 #(</w:t>
      </w:r>
      <w:r>
        <w:rPr>
          <w:rFonts w:ascii="Arial" w:eastAsia="Arial" w:hAnsi="Arial" w:cs="Arial"/>
          <w:b/>
          <w:color w:val="FF0000"/>
          <w:sz w:val="16"/>
          <w:szCs w:val="16"/>
        </w:rPr>
        <w:t>вкажіть тут код, що найближчий вам за тематикою</w:t>
      </w:r>
      <w:r>
        <w:rPr>
          <w:rFonts w:ascii="Arial" w:eastAsia="Arial" w:hAnsi="Arial" w:cs="Arial"/>
          <w:b/>
          <w:color w:val="000000"/>
          <w:sz w:val="16"/>
          <w:szCs w:val="16"/>
        </w:rPr>
        <w:t>)</w:t>
      </w:r>
    </w:p>
    <w:p w14:paraId="7787581E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DOI:</w:t>
      </w:r>
    </w:p>
    <w:p w14:paraId="1E4C814B" w14:textId="77777777" w:rsidR="00497306" w:rsidRDefault="004973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434343"/>
          <w:sz w:val="18"/>
          <w:szCs w:val="18"/>
        </w:rPr>
      </w:pPr>
    </w:p>
    <w:p w14:paraId="7808E09A" w14:textId="77777777" w:rsidR="00497306" w:rsidRDefault="006375FF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Анна ТКАЧ, канд. фіз.-мат. наук, доц.</w:t>
      </w:r>
    </w:p>
    <w:p w14:paraId="079D634B" w14:textId="77777777" w:rsidR="00497306" w:rsidRDefault="006375FF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ORCID ID: 0000-0002-1234-5678</w:t>
      </w:r>
    </w:p>
    <w:p w14:paraId="3BF6E4BA" w14:textId="77777777" w:rsidR="00497306" w:rsidRDefault="006375FF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 xml:space="preserve">e-mail: </w:t>
      </w:r>
      <w:hyperlink r:id="rId5">
        <w:r>
          <w:rPr>
            <w:rFonts w:ascii="Arial" w:eastAsia="Arial" w:hAnsi="Arial" w:cs="Arial"/>
            <w:b/>
            <w:color w:val="0000FF"/>
            <w:sz w:val="14"/>
            <w:szCs w:val="14"/>
            <w:u w:val="single"/>
          </w:rPr>
          <w:t>anna.tkach@knu.ua</w:t>
        </w:r>
      </w:hyperlink>
    </w:p>
    <w:p w14:paraId="09B17B0E" w14:textId="77777777" w:rsidR="00497306" w:rsidRDefault="006375FF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Київський національний університет імені Тараса Шевченка, Київ, Україна</w:t>
      </w:r>
    </w:p>
    <w:p w14:paraId="78CA8680" w14:textId="77777777" w:rsidR="00497306" w:rsidRDefault="00497306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</w:p>
    <w:p w14:paraId="0C96C21B" w14:textId="77777777" w:rsidR="00497306" w:rsidRDefault="009A5F0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Стефан ЛЕМБЕРГ, Ph</w:t>
      </w:r>
      <w:r w:rsidR="006375FF">
        <w:rPr>
          <w:rFonts w:ascii="Arial" w:eastAsia="Arial" w:hAnsi="Arial" w:cs="Arial"/>
          <w:b/>
          <w:color w:val="000000"/>
          <w:sz w:val="14"/>
          <w:szCs w:val="14"/>
        </w:rPr>
        <w:t>D, проф.</w:t>
      </w:r>
    </w:p>
    <w:p w14:paraId="0EA144FA" w14:textId="77777777" w:rsidR="00497306" w:rsidRDefault="006375FF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ORCID ID: 0000-0003-4567-8901</w:t>
      </w:r>
    </w:p>
    <w:p w14:paraId="5BDFE304" w14:textId="77777777" w:rsidR="00497306" w:rsidRDefault="006375FF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 xml:space="preserve">e-mail: </w:t>
      </w:r>
      <w:hyperlink r:id="rId6">
        <w:r>
          <w:rPr>
            <w:rFonts w:ascii="Arial" w:eastAsia="Arial" w:hAnsi="Arial" w:cs="Arial"/>
            <w:b/>
            <w:color w:val="0000FF"/>
            <w:sz w:val="14"/>
            <w:szCs w:val="14"/>
            <w:u w:val="single"/>
          </w:rPr>
          <w:t>st.lemberg@rug.nl</w:t>
        </w:r>
      </w:hyperlink>
    </w:p>
    <w:p w14:paraId="3714F322" w14:textId="77777777" w:rsidR="00497306" w:rsidRDefault="006375FF">
      <w:pPr>
        <w:keepNext/>
        <w:pBdr>
          <w:top w:val="nil"/>
          <w:left w:val="nil"/>
          <w:bottom w:val="nil"/>
          <w:right w:val="nil"/>
          <w:between w:val="nil"/>
        </w:pBdr>
        <w:spacing w:after="0" w:line="226" w:lineRule="auto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Університет Гронінгена, Гронінген, Нідерланди</w:t>
      </w:r>
    </w:p>
    <w:p w14:paraId="39C041A8" w14:textId="77777777" w:rsidR="00497306" w:rsidRDefault="00497306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1FA3AFDC" w14:textId="77777777" w:rsidR="00497306" w:rsidRPr="00CB509F" w:rsidRDefault="00394B0A">
      <w:pPr>
        <w:jc w:val="center"/>
        <w:rPr>
          <w:rFonts w:ascii="Arial Black" w:eastAsia="Arial Black" w:hAnsi="Arial Black" w:cs="Arial Black"/>
          <w:smallCaps/>
          <w:sz w:val="20"/>
          <w:szCs w:val="20"/>
          <w:highlight w:val="white"/>
        </w:rPr>
      </w:pPr>
      <w:sdt>
        <w:sdtPr>
          <w:tag w:val="goog_rdk_0"/>
          <w:id w:val="111640243"/>
        </w:sdtPr>
        <w:sdtEndPr>
          <w:rPr>
            <w:rFonts w:ascii="Arial Black" w:hAnsi="Arial Black"/>
          </w:rPr>
        </w:sdtEndPr>
        <w:sdtContent>
          <w:r w:rsidR="006375FF" w:rsidRPr="00CB509F">
            <w:rPr>
              <w:rFonts w:ascii="Arial Black" w:eastAsia="Arial" w:hAnsi="Arial Black" w:cs="Arial"/>
              <w:smallCaps/>
              <w:sz w:val="20"/>
              <w:szCs w:val="20"/>
              <w:highlight w:val="white"/>
            </w:rPr>
            <w:t>НАЗВА СТАТТІ</w:t>
          </w:r>
        </w:sdtContent>
      </w:sdt>
    </w:p>
    <w:p w14:paraId="659E5EFD" w14:textId="77777777" w:rsidR="00497306" w:rsidRDefault="006375FF">
      <w:pPr>
        <w:spacing w:after="0"/>
        <w:ind w:firstLine="283"/>
        <w:jc w:val="both"/>
        <w:rPr>
          <w:rFonts w:ascii="Arial" w:eastAsia="Arial" w:hAnsi="Arial" w:cs="Arial"/>
          <w:b/>
          <w:i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Анотація оригінальної дослідницької статті має бути структурованою та  інформативною, відповідати IMRAD-структурі й містити такі пункти: актуальність, мета та завдання, методи, результати, висновки.</w:t>
      </w:r>
    </w:p>
    <w:p w14:paraId="07AF0879" w14:textId="77777777" w:rsidR="00497306" w:rsidRDefault="006375FF">
      <w:pPr>
        <w:spacing w:after="0"/>
        <w:ind w:firstLine="283"/>
        <w:jc w:val="both"/>
        <w:rPr>
          <w:rFonts w:ascii="Arial" w:eastAsia="Arial" w:hAnsi="Arial" w:cs="Arial"/>
          <w:b/>
          <w:i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Можна початки з короткого опису мети та історії дослідження, його актуальності й доцільності. Основні питання, методика, результати та висновки дослідження. Перспективи майбутніх досліджень. [не менше 1 800 знаків, 200-250 слів]</w:t>
      </w:r>
    </w:p>
    <w:p w14:paraId="60E4C766" w14:textId="77777777" w:rsidR="00497306" w:rsidRDefault="006375FF">
      <w:pPr>
        <w:spacing w:after="0"/>
        <w:ind w:firstLine="284"/>
        <w:jc w:val="both"/>
        <w:rPr>
          <w:rFonts w:ascii="Arial" w:eastAsia="Arial" w:hAnsi="Arial" w:cs="Arial"/>
          <w:b/>
          <w:i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Наприклад, Я-концепція людини - це феномен, який включає в себе уявлення людини про себе і власну оцінку цих уявлень. Представники різних напрямків досліджували це питання з точки зору… для того, щоб ...Для дослідження особливостей трансформації Я-концепції особистості були використані наступні методики: тест самоактуалізації … Про конструктивну трансформацію свідчить наявність адекватної позитивної самооцінки, активне конструювання власного життя, активність, прагнення реалізувати себе, безтурботність, … Представлено особливості трансформації Я-концепції жінок віком від 26 до 40 років. Трансформація Я-концепції особистості відбуватиметься у двох напрямках...</w:t>
      </w:r>
    </w:p>
    <w:p w14:paraId="43C26BCC" w14:textId="77777777" w:rsidR="00497306" w:rsidRDefault="004973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14AE3F7D" w14:textId="77777777" w:rsidR="00497306" w:rsidRDefault="006375FF" w:rsidP="00BD56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firstLine="284"/>
        <w:rPr>
          <w:rFonts w:ascii="Arial" w:eastAsia="Arial" w:hAnsi="Arial" w:cs="Arial"/>
          <w:i/>
          <w:sz w:val="18"/>
          <w:szCs w:val="18"/>
        </w:rPr>
      </w:pPr>
      <w:r>
        <w:rPr>
          <w:rFonts w:ascii="Arial" w:eastAsia="Arial" w:hAnsi="Arial" w:cs="Arial"/>
          <w:b/>
          <w:sz w:val="16"/>
          <w:szCs w:val="16"/>
        </w:rPr>
        <w:t>Ключові слова:</w:t>
      </w:r>
      <w:r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i/>
          <w:sz w:val="16"/>
          <w:szCs w:val="16"/>
        </w:rPr>
        <w:t xml:space="preserve">4–8 слів або словосполучень, відділених комою (,). </w:t>
      </w:r>
    </w:p>
    <w:p w14:paraId="7BC651BC" w14:textId="77777777" w:rsidR="00497306" w:rsidRDefault="006375FF" w:rsidP="00BD56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 w:line="240" w:lineRule="auto"/>
        <w:ind w:firstLine="284"/>
        <w:rPr>
          <w:rFonts w:ascii="Arial" w:eastAsia="Arial" w:hAnsi="Arial" w:cs="Arial"/>
          <w:color w:val="FF0000"/>
          <w:sz w:val="14"/>
          <w:szCs w:val="14"/>
        </w:rPr>
      </w:pPr>
      <w:r w:rsidRPr="00BD5682">
        <w:rPr>
          <w:rFonts w:ascii="Arial" w:eastAsia="Arial" w:hAnsi="Arial" w:cs="Arial"/>
          <w:b/>
          <w:sz w:val="16"/>
          <w:szCs w:val="16"/>
        </w:rPr>
        <w:t>Класифікація відповідно до AMS 2020: 62H30, 34C60 #(</w:t>
      </w:r>
      <w:r>
        <w:rPr>
          <w:rFonts w:ascii="Arial" w:eastAsia="Arial" w:hAnsi="Arial" w:cs="Arial"/>
          <w:b/>
          <w:color w:val="FF0000"/>
          <w:sz w:val="14"/>
          <w:szCs w:val="14"/>
        </w:rPr>
        <w:t>можна обрати https://mathscinet.ams.org/mathscinet/msc/msc2020.html)</w:t>
      </w:r>
    </w:p>
    <w:p w14:paraId="023A8366" w14:textId="77777777" w:rsidR="00497306" w:rsidRPr="00BD5682" w:rsidRDefault="006375FF">
      <w:pPr>
        <w:spacing w:after="0" w:line="276" w:lineRule="auto"/>
        <w:ind w:firstLine="284"/>
        <w:jc w:val="both"/>
        <w:rPr>
          <w:rFonts w:ascii="Arial" w:eastAsia="Arial" w:hAnsi="Arial" w:cs="Arial"/>
          <w:sz w:val="18"/>
          <w:szCs w:val="18"/>
        </w:rPr>
      </w:pPr>
      <w:r w:rsidRPr="00BD5682">
        <w:rPr>
          <w:rFonts w:ascii="Arial" w:eastAsia="Arial" w:hAnsi="Arial" w:cs="Arial"/>
          <w:b/>
          <w:sz w:val="18"/>
          <w:szCs w:val="18"/>
        </w:rPr>
        <w:t>Вступ</w:t>
      </w:r>
    </w:p>
    <w:p w14:paraId="19CF9B53" w14:textId="77777777" w:rsidR="00497306" w:rsidRDefault="006375FF">
      <w:pPr>
        <w:spacing w:after="0" w:line="276" w:lineRule="auto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Актуальність дослідження.</w:t>
      </w:r>
      <w:r>
        <w:rPr>
          <w:rFonts w:ascii="Arial" w:eastAsia="Arial" w:hAnsi="Arial" w:cs="Arial"/>
          <w:b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Постановка проблеми (обґрунтувати актуальність і перспективи та важливість дослідження). Аналіз останніх досліджень і публікацій (не перелік списку джерел через вираз «питання досліджували…», а саме аналіз останніх та актуальних джерел з цієї тематики, рівень вивченості питання дослідниками у відповідній сфері дослідження). Наприклад, у роботі (Covey, 2013) … Більше того, див. (Grady et al., 2019) ...</w:t>
      </w:r>
    </w:p>
    <w:p w14:paraId="4C868CA1" w14:textId="77777777" w:rsidR="00497306" w:rsidRDefault="006375FF">
      <w:pPr>
        <w:spacing w:after="0" w:line="276" w:lineRule="auto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Об’єкт дослідження …</w:t>
      </w:r>
    </w:p>
    <w:p w14:paraId="60CDE649" w14:textId="77777777" w:rsidR="00497306" w:rsidRDefault="006375FF">
      <w:pPr>
        <w:spacing w:after="0" w:line="276" w:lineRule="auto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Мета та завдання дослідження …</w:t>
      </w:r>
    </w:p>
    <w:p w14:paraId="56086AA4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[Опціонально] Методи Не просто перераховано методи, а розкрито алгоритм їх використання під час дослідження.</w:t>
      </w:r>
    </w:p>
    <w:p w14:paraId="1BEFF38A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В цьому розділі зазвичай наводять огляд літератури за темою дослідження. Зверніть увагу, що в розділі «Список використаних джерел» мають бути вказані лише ті матеріали, які цитуються в тексті статті. Отже, вам потрібно десь згадати ці посилання. Наприклад, теорія чогось детально описана в (Brück, 2022; Covey, 2020). Як було зазначено в (Evans et al., 2019), це випливає з… Svendsen, &amp; Løber (2020) розглядали це в іншому контексті … а от в (Grady at al., 2019) та (Женченко, 2019) ми можемо знайти ще одну інтерпретацію цього явища...</w:t>
      </w:r>
    </w:p>
    <w:p w14:paraId="5F5EC66E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Щоб оформити посилання на сайт за вимогами стилю APA у списку використаних джерел, у бібліографічному записі слід зазначати такі дані: реквізити автора матеріалу, дата опублікування матеріалу на сторінці, назва матеріалу, назва сайту, адреса URL. До прикладу, вперше про це було зазначено на сайті (Ben Khemis, 2020).</w:t>
      </w:r>
    </w:p>
    <w:p w14:paraId="51EF46DF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Для україномовних статей потрібно вказувати два варіанти Списку використаних джерел. Один – мовою оригіналу, а інший – англійською. В першому списку статті впорядковуються за кириличним алфавітом спочатку, а потім – латиницею. В другому списку, україномовні статті (чи ті, що в оригіналі були опубліковані будь-якою іншою мовою) не транслітеруються, а наводиться переклад назви статті та в кінці в квадратних дужках вказується якою мовою був опублікований оригінал.</w:t>
      </w:r>
    </w:p>
    <w:p w14:paraId="637EBBD7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Також тут можна описати подальшу структуру статті. В розділі 2 наведені основні означення та  результати за тематикою. В розділі 3… Великі таблиці та коди можуть бути розміщені в кінці статті в якості додатків. Радимо коди та іншу технічну документацію за тематикою дослідження розміщати в мережі використовуючи загально доступні ресурси на кшталт githab, а в текст статті лише включити відповідне інтернет-джерело.  </w:t>
      </w:r>
    </w:p>
    <w:p w14:paraId="0FF9175A" w14:textId="77777777" w:rsidR="00497306" w:rsidRPr="00BD5682" w:rsidRDefault="005268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284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1</w:t>
      </w:r>
      <w:r w:rsidR="006375FF" w:rsidRPr="00BD5682">
        <w:rPr>
          <w:rFonts w:ascii="Arial" w:eastAsia="Arial" w:hAnsi="Arial" w:cs="Arial"/>
          <w:b/>
          <w:sz w:val="18"/>
          <w:szCs w:val="18"/>
        </w:rPr>
        <w:t>. Основні означення та результати</w:t>
      </w:r>
    </w:p>
    <w:p w14:paraId="62018EEA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284"/>
        <w:jc w:val="both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Виклад основних результатів дослідження. </w:t>
      </w:r>
      <w:r>
        <w:rPr>
          <w:rFonts w:ascii="Arial" w:eastAsia="Arial" w:hAnsi="Arial" w:cs="Arial"/>
          <w:color w:val="434343"/>
          <w:sz w:val="18"/>
          <w:szCs w:val="18"/>
        </w:rPr>
        <w:t>Використовуйте у тексті міжрядковий інтервал 1. Нехай виконується рівність…</w:t>
      </w:r>
    </w:p>
    <w:tbl>
      <w:tblPr>
        <w:tblStyle w:val="a8"/>
        <w:tblW w:w="963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784"/>
        <w:gridCol w:w="851"/>
      </w:tblGrid>
      <w:tr w:rsidR="00497306" w14:paraId="5F1AFDAC" w14:textId="77777777">
        <w:tc>
          <w:tcPr>
            <w:tcW w:w="8784" w:type="dxa"/>
            <w:vAlign w:val="center"/>
          </w:tcPr>
          <w:p w14:paraId="70D4A230" w14:textId="77777777" w:rsidR="00497306" w:rsidRDefault="006375FF">
            <w:pPr>
              <w:jc w:val="center"/>
              <w:rPr>
                <w:rFonts w:ascii="Cambria Math" w:eastAsia="Cambria Math" w:hAnsi="Cambria Math" w:cs="Cambria Math"/>
                <w:color w:val="434343"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y=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1</m:t>
                    </m:r>
                  </m:sub>
                </m:sSub>
                <m:nary>
                  <m:naryPr>
                    <m:chr m:val="∑"/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i=1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n</m:t>
                    </m:r>
                  </m:sup>
                  <m:e/>
                </m:nary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2</m:t>
                    </m:r>
                  </m:sub>
                </m:sSub>
                <m:nary>
                  <m:naryPr>
                    <m:chr m:val="∑"/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i=1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n</m:t>
                    </m:r>
                  </m:sup>
                  <m:e/>
                </m:nary>
                <m:sSubSup>
                  <m:sSubSup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2</m:t>
                    </m:r>
                  </m:sup>
                </m:sSubSup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3</m:t>
                    </m:r>
                  </m:sub>
                </m:sSub>
                <m:nary>
                  <m:naryPr>
                    <m:chr m:val="∑"/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i=1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n</m:t>
                    </m:r>
                  </m:sup>
                  <m:e/>
                </m:nary>
                <m:sSubSup>
                  <m:sSubSup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4</m:t>
                    </m:r>
                  </m:sup>
                </m:sSubSup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4</m:t>
                    </m:r>
                  </m:sub>
                </m:sSub>
                <m:nary>
                  <m:naryPr>
                    <m:chr m:val="∑"/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i=1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n</m:t>
                    </m:r>
                  </m:sup>
                  <m:e/>
                </m:nary>
                <m:sSubSup>
                  <m:sSubSup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6</m:t>
                    </m:r>
                  </m:sup>
                </m:sSubSup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5</m:t>
                    </m:r>
                  </m:sub>
                </m:sSub>
                <m:nary>
                  <m:naryPr>
                    <m:chr m:val="∑"/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i=1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n</m:t>
                    </m:r>
                  </m:sup>
                  <m:e/>
                </m:nary>
                <m:rad>
                  <m:radPr>
                    <m:degHide m:val="1"/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color w:val="434343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color w:val="434343"/>
                            <w:sz w:val="18"/>
                            <w:szCs w:val="1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color w:val="434343"/>
                            <w:sz w:val="18"/>
                            <w:szCs w:val="18"/>
                          </w:rPr>
                          <m:t>i</m:t>
                        </m:r>
                      </m:sub>
                    </m:sSub>
                  </m:e>
                </m:rad>
              </m:oMath>
            </m:oMathPara>
          </w:p>
        </w:tc>
        <w:tc>
          <w:tcPr>
            <w:tcW w:w="851" w:type="dxa"/>
            <w:vAlign w:val="center"/>
          </w:tcPr>
          <w:p w14:paraId="285EFCF5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color w:val="43434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34343"/>
                <w:sz w:val="18"/>
                <w:szCs w:val="18"/>
              </w:rPr>
              <w:t>(1)</w:t>
            </w:r>
          </w:p>
        </w:tc>
      </w:tr>
    </w:tbl>
    <w:p w14:paraId="298291F1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284"/>
        <w:jc w:val="both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color w:val="434343"/>
          <w:sz w:val="18"/>
          <w:szCs w:val="18"/>
        </w:rPr>
        <w:lastRenderedPageBreak/>
        <w:t xml:space="preserve">Формули додаються у тест статті аналогічно до того, як додано формулу (1), тобто використовуючи таблицю розміру 2x1 із відсутніми границями. </w:t>
      </w:r>
    </w:p>
    <w:p w14:paraId="112597F4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firstLine="284"/>
        <w:jc w:val="both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color w:val="434343"/>
          <w:sz w:val="18"/>
          <w:szCs w:val="18"/>
        </w:rPr>
        <w:t>Рекомендуємо використовувати такі стилі для оформлення теорем, лем, означень, висновків, прикладів тощо. Нумерація кожного із видів тверджень ведеться окремо.</w:t>
      </w:r>
    </w:p>
    <w:p w14:paraId="6A433777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i/>
          <w:color w:val="434343"/>
          <w:sz w:val="18"/>
          <w:szCs w:val="18"/>
        </w:rPr>
        <w:t>Означення 1.</w:t>
      </w:r>
      <w:r>
        <w:rPr>
          <w:rFonts w:ascii="Arial" w:eastAsia="Arial" w:hAnsi="Arial" w:cs="Arial"/>
          <w:color w:val="434343"/>
          <w:sz w:val="18"/>
          <w:szCs w:val="18"/>
        </w:rPr>
        <w:t xml:space="preserve"> Гільбертовим простором називається векторний простір з власним добутком, який індукує функцію відстані, для якої цей простір є повним метричним простором.</w:t>
      </w:r>
    </w:p>
    <w:p w14:paraId="2FB3C98A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Arial" w:eastAsia="Arial" w:hAnsi="Arial" w:cs="Arial"/>
          <w:color w:val="434343"/>
          <w:sz w:val="18"/>
          <w:szCs w:val="18"/>
        </w:rPr>
      </w:pPr>
      <w:r w:rsidRPr="00BD5682">
        <w:rPr>
          <w:rFonts w:ascii="Arial" w:eastAsia="Arial" w:hAnsi="Arial" w:cs="Arial"/>
          <w:b/>
          <w:sz w:val="18"/>
          <w:szCs w:val="18"/>
        </w:rPr>
        <w:t>Теорема 1.</w:t>
      </w:r>
      <w:r w:rsidRPr="00BD5682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434343"/>
          <w:sz w:val="18"/>
          <w:szCs w:val="18"/>
        </w:rPr>
        <w:t>Нехай</w:t>
      </w:r>
      <w:r>
        <w:rPr>
          <w:rFonts w:ascii="Arial" w:eastAsia="Arial" w:hAnsi="Arial" w:cs="Arial"/>
          <w:color w:val="434343"/>
          <w:sz w:val="18"/>
          <w:szCs w:val="18"/>
        </w:rPr>
        <w:t xml:space="preserve"> </w:t>
      </w:r>
      <m:oMath>
        <m:r>
          <w:rPr>
            <w:rFonts w:ascii="Cambria Math" w:eastAsia="Cambria Math" w:hAnsi="Cambria Math" w:cs="Cambria Math"/>
            <w:color w:val="434343"/>
            <w:sz w:val="18"/>
            <w:szCs w:val="18"/>
          </w:rPr>
          <m:t xml:space="preserve">X(t), t ∈ [0, T] </m:t>
        </m:r>
      </m:oMath>
      <w:r>
        <w:rPr>
          <w:rFonts w:ascii="Arial" w:eastAsia="Arial" w:hAnsi="Arial" w:cs="Arial"/>
          <w:color w:val="434343"/>
          <w:sz w:val="18"/>
          <w:szCs w:val="18"/>
        </w:rPr>
        <w:t xml:space="preserve">– це </w:t>
      </w:r>
      <w:r>
        <w:rPr>
          <w:rFonts w:ascii="Arial" w:eastAsia="Arial" w:hAnsi="Arial" w:cs="Arial"/>
          <w:i/>
          <w:color w:val="434343"/>
          <w:sz w:val="18"/>
          <w:szCs w:val="18"/>
        </w:rPr>
        <w:t>стаціонарний центрований гаусівський стохастичний процес ...</w:t>
      </w:r>
    </w:p>
    <w:p w14:paraId="1F478FE5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i/>
          <w:color w:val="434343"/>
          <w:sz w:val="18"/>
          <w:szCs w:val="18"/>
        </w:rPr>
        <w:t>Доведення.</w:t>
      </w:r>
      <w:r>
        <w:rPr>
          <w:rFonts w:ascii="Arial" w:eastAsia="Arial" w:hAnsi="Arial" w:cs="Arial"/>
          <w:color w:val="434343"/>
          <w:sz w:val="18"/>
          <w:szCs w:val="18"/>
        </w:rPr>
        <w:t xml:space="preserve"> Оскільки гаусівські процеси є ..., тому</w:t>
      </w:r>
    </w:p>
    <w:tbl>
      <w:tblPr>
        <w:tblStyle w:val="a9"/>
        <w:tblW w:w="963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784"/>
        <w:gridCol w:w="851"/>
      </w:tblGrid>
      <w:tr w:rsidR="00497306" w14:paraId="3690BC5F" w14:textId="77777777">
        <w:tc>
          <w:tcPr>
            <w:tcW w:w="8784" w:type="dxa"/>
            <w:vAlign w:val="center"/>
          </w:tcPr>
          <w:p w14:paraId="17681917" w14:textId="77777777" w:rsidR="00497306" w:rsidRDefault="00394B0A">
            <w:pPr>
              <w:jc w:val="center"/>
              <w:rPr>
                <w:rFonts w:ascii="Cambria Math" w:eastAsia="Cambria Math" w:hAnsi="Cambria Math" w:cs="Cambria Math"/>
                <w:color w:val="434343"/>
                <w:sz w:val="18"/>
                <w:szCs w:val="18"/>
              </w:rPr>
            </w:pPr>
            <m:oMathPara>
              <m:oMath>
                <m:nary>
                  <m:naryPr>
                    <m:ctrlPr>
                      <w:rPr>
                        <w:rFonts w:ascii="Cambria Math" w:hAnsi="Cambria Math"/>
                      </w:rPr>
                    </m:ctrlPr>
                  </m:naryPr>
                  <m:sub/>
                  <m:sup/>
                  <m:e/>
                </m:nary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Ef</m:t>
                </m:r>
                <m:d>
                  <m:d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x</m:t>
                    </m:r>
                  </m:e>
                </m:d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dx&lt;∞</m:t>
                </m:r>
              </m:oMath>
            </m:oMathPara>
          </w:p>
        </w:tc>
        <w:tc>
          <w:tcPr>
            <w:tcW w:w="851" w:type="dxa"/>
            <w:vAlign w:val="center"/>
          </w:tcPr>
          <w:p w14:paraId="0F97331E" w14:textId="77777777" w:rsidR="00497306" w:rsidRDefault="00497306">
            <w:pPr>
              <w:spacing w:before="60" w:after="60"/>
              <w:ind w:firstLine="284"/>
              <w:jc w:val="center"/>
              <w:rPr>
                <w:rFonts w:ascii="Arial" w:eastAsia="Arial" w:hAnsi="Arial" w:cs="Arial"/>
                <w:color w:val="434343"/>
                <w:sz w:val="18"/>
                <w:szCs w:val="18"/>
              </w:rPr>
            </w:pPr>
          </w:p>
        </w:tc>
      </w:tr>
    </w:tbl>
    <w:p w14:paraId="6997645F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right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color w:val="434343"/>
          <w:sz w:val="18"/>
          <w:szCs w:val="18"/>
        </w:rPr>
        <w:t>□</w:t>
      </w:r>
    </w:p>
    <w:p w14:paraId="6FF284DF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Arial" w:eastAsia="Arial" w:hAnsi="Arial" w:cs="Arial"/>
          <w:color w:val="434343"/>
          <w:sz w:val="18"/>
          <w:szCs w:val="18"/>
        </w:rPr>
      </w:pPr>
      <w:r w:rsidRPr="00BD5682">
        <w:rPr>
          <w:rFonts w:ascii="Arial" w:eastAsia="Arial" w:hAnsi="Arial" w:cs="Arial"/>
          <w:b/>
          <w:sz w:val="18"/>
          <w:szCs w:val="18"/>
        </w:rPr>
        <w:t>Лема 1.</w:t>
      </w:r>
      <w:r w:rsidRPr="00BD5682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434343"/>
          <w:sz w:val="18"/>
          <w:szCs w:val="18"/>
        </w:rPr>
        <w:t>Припустимо, що ...</w:t>
      </w:r>
    </w:p>
    <w:p w14:paraId="45E06296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Arial" w:eastAsia="Arial" w:hAnsi="Arial" w:cs="Arial"/>
          <w:color w:val="434343"/>
          <w:sz w:val="18"/>
          <w:szCs w:val="18"/>
        </w:rPr>
      </w:pPr>
      <w:r w:rsidRPr="00BD5682">
        <w:rPr>
          <w:rFonts w:ascii="Arial" w:eastAsia="Arial" w:hAnsi="Arial" w:cs="Arial"/>
          <w:b/>
          <w:sz w:val="18"/>
          <w:szCs w:val="18"/>
        </w:rPr>
        <w:t>Твердження 1.</w:t>
      </w:r>
      <w:r w:rsidRPr="00BD5682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434343"/>
          <w:sz w:val="18"/>
          <w:szCs w:val="18"/>
        </w:rPr>
        <w:t>Має місце наступна тотожність: …</w:t>
      </w:r>
    </w:p>
    <w:p w14:paraId="4C32ECD5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  <w:color w:val="434343"/>
          <w:sz w:val="18"/>
          <w:szCs w:val="18"/>
        </w:rPr>
      </w:pPr>
      <w:r w:rsidRPr="00BD5682">
        <w:rPr>
          <w:rFonts w:ascii="Arial" w:eastAsia="Arial" w:hAnsi="Arial" w:cs="Arial"/>
          <w:b/>
          <w:sz w:val="18"/>
          <w:szCs w:val="18"/>
        </w:rPr>
        <w:t>Наслідок 1</w:t>
      </w:r>
      <w:r w:rsidRPr="00BD5682"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i/>
          <w:color w:val="434343"/>
          <w:sz w:val="18"/>
          <w:szCs w:val="18"/>
        </w:rPr>
        <w:t>З леми 1 випливає, що ... Траєкторії для різних λ зображені на Рисунку 1.</w:t>
      </w:r>
      <w:r>
        <w:rPr>
          <w:rFonts w:ascii="Arial" w:eastAsia="Arial" w:hAnsi="Arial" w:cs="Arial"/>
          <w:color w:val="434343"/>
          <w:sz w:val="18"/>
          <w:szCs w:val="18"/>
        </w:rPr>
        <w:t xml:space="preserve"> </w:t>
      </w:r>
    </w:p>
    <w:p w14:paraId="58B48723" w14:textId="77777777" w:rsidR="00497306" w:rsidRDefault="004973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284"/>
        <w:jc w:val="both"/>
        <w:rPr>
          <w:rFonts w:ascii="Arial" w:eastAsia="Arial" w:hAnsi="Arial" w:cs="Arial"/>
          <w:color w:val="434343"/>
          <w:sz w:val="18"/>
          <w:szCs w:val="18"/>
        </w:rPr>
      </w:pPr>
    </w:p>
    <w:p w14:paraId="20B128CD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jc w:val="center"/>
        <w:rPr>
          <w:rFonts w:ascii="Arial" w:eastAsia="Arial" w:hAnsi="Arial" w:cs="Arial"/>
          <w:color w:val="434343"/>
          <w:sz w:val="18"/>
          <w:szCs w:val="18"/>
        </w:rPr>
      </w:pPr>
      <w:r>
        <w:rPr>
          <w:noProof/>
          <w:sz w:val="18"/>
          <w:szCs w:val="18"/>
          <w:lang w:val="en-US"/>
        </w:rPr>
        <w:drawing>
          <wp:inline distT="0" distB="0" distL="0" distR="0" wp14:anchorId="7A9259FE" wp14:editId="5B935C2F">
            <wp:extent cx="2973020" cy="2209251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3020" cy="22092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770734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Рис. 1. Підпис до рисунка</w:t>
      </w:r>
    </w:p>
    <w:p w14:paraId="3C5C41B7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284"/>
        <w:jc w:val="both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color w:val="434343"/>
          <w:sz w:val="18"/>
          <w:szCs w:val="18"/>
        </w:rPr>
        <w:t xml:space="preserve">Таблиці та ілюстрації вносяться безпосередньо в текст. Зокрема, див. Таблицю 1 та Рисунок 1. </w:t>
      </w:r>
    </w:p>
    <w:p w14:paraId="3A51CB91" w14:textId="77777777" w:rsidR="00497306" w:rsidRDefault="006375FF">
      <w:pPr>
        <w:spacing w:after="0" w:line="240" w:lineRule="auto"/>
        <w:jc w:val="right"/>
        <w:rPr>
          <w:rFonts w:ascii="Arial" w:eastAsia="Arial" w:hAnsi="Arial" w:cs="Arial"/>
          <w:b/>
          <w:i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Таблиця 1</w:t>
      </w:r>
    </w:p>
    <w:p w14:paraId="6EFB5B74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Назва таблиці</w:t>
      </w:r>
    </w:p>
    <w:tbl>
      <w:tblPr>
        <w:tblStyle w:val="aa"/>
        <w:tblW w:w="64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4"/>
        <w:gridCol w:w="1604"/>
        <w:gridCol w:w="1605"/>
        <w:gridCol w:w="1605"/>
      </w:tblGrid>
      <w:tr w:rsidR="00497306" w14:paraId="6F6CEA4A" w14:textId="77777777">
        <w:trPr>
          <w:jc w:val="center"/>
        </w:trPr>
        <w:tc>
          <w:tcPr>
            <w:tcW w:w="1604" w:type="dxa"/>
            <w:vAlign w:val="center"/>
          </w:tcPr>
          <w:p w14:paraId="3BF072EB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Назва</w:t>
            </w:r>
          </w:p>
        </w:tc>
        <w:tc>
          <w:tcPr>
            <w:tcW w:w="1604" w:type="dxa"/>
            <w:vAlign w:val="center"/>
          </w:tcPr>
          <w:p w14:paraId="12756BEE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m:oMath>
              <m:r>
                <w:rPr>
                  <w:rFonts w:ascii="Cambria Math" w:hAnsi="Cambria Math"/>
                </w:rPr>
                <m:t>α</m:t>
              </m:r>
            </m:oMath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-рівень</w:t>
            </w:r>
          </w:p>
        </w:tc>
        <w:tc>
          <w:tcPr>
            <w:tcW w:w="1605" w:type="dxa"/>
            <w:vAlign w:val="center"/>
          </w:tcPr>
          <w:p w14:paraId="3DBA32AC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Ймовірність</w:t>
            </w:r>
          </w:p>
        </w:tc>
        <w:tc>
          <w:tcPr>
            <w:tcW w:w="1605" w:type="dxa"/>
            <w:vAlign w:val="center"/>
          </w:tcPr>
          <w:p w14:paraId="2B36C694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Величина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α</m:t>
                  </m:r>
                </m:sub>
              </m:sSub>
            </m:oMath>
          </w:p>
        </w:tc>
      </w:tr>
      <w:tr w:rsidR="00497306" w14:paraId="22F3C293" w14:textId="77777777">
        <w:trPr>
          <w:jc w:val="center"/>
        </w:trPr>
        <w:tc>
          <w:tcPr>
            <w:tcW w:w="1604" w:type="dxa"/>
            <w:vAlign w:val="center"/>
          </w:tcPr>
          <w:p w14:paraId="40650082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Елемент 1</w:t>
            </w:r>
          </w:p>
        </w:tc>
        <w:tc>
          <w:tcPr>
            <w:tcW w:w="1604" w:type="dxa"/>
            <w:vAlign w:val="center"/>
          </w:tcPr>
          <w:p w14:paraId="7DD15D28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605" w:type="dxa"/>
            <w:vAlign w:val="center"/>
          </w:tcPr>
          <w:p w14:paraId="63EFB0E1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605" w:type="dxa"/>
            <w:vAlign w:val="center"/>
          </w:tcPr>
          <w:p w14:paraId="7D61908F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17.3</w:t>
            </w:r>
          </w:p>
        </w:tc>
      </w:tr>
      <w:tr w:rsidR="00497306" w14:paraId="7789911B" w14:textId="77777777">
        <w:trPr>
          <w:jc w:val="center"/>
        </w:trPr>
        <w:tc>
          <w:tcPr>
            <w:tcW w:w="1604" w:type="dxa"/>
            <w:vAlign w:val="center"/>
          </w:tcPr>
          <w:p w14:paraId="7C7C485B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Елемент 2</w:t>
            </w:r>
          </w:p>
        </w:tc>
        <w:tc>
          <w:tcPr>
            <w:tcW w:w="1604" w:type="dxa"/>
            <w:vAlign w:val="center"/>
          </w:tcPr>
          <w:p w14:paraId="46F0CBC9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605" w:type="dxa"/>
            <w:vAlign w:val="center"/>
          </w:tcPr>
          <w:p w14:paraId="1EC6BA42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605" w:type="dxa"/>
            <w:vAlign w:val="center"/>
          </w:tcPr>
          <w:p w14:paraId="48E44074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16.8</w:t>
            </w:r>
          </w:p>
        </w:tc>
      </w:tr>
      <w:tr w:rsidR="00497306" w14:paraId="2D362DE2" w14:textId="77777777">
        <w:trPr>
          <w:jc w:val="center"/>
        </w:trPr>
        <w:tc>
          <w:tcPr>
            <w:tcW w:w="1604" w:type="dxa"/>
            <w:vAlign w:val="center"/>
          </w:tcPr>
          <w:p w14:paraId="7390B962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Елемент 3</w:t>
            </w:r>
          </w:p>
        </w:tc>
        <w:tc>
          <w:tcPr>
            <w:tcW w:w="1604" w:type="dxa"/>
            <w:vAlign w:val="center"/>
          </w:tcPr>
          <w:p w14:paraId="1224D91E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05" w:type="dxa"/>
            <w:vAlign w:val="center"/>
          </w:tcPr>
          <w:p w14:paraId="2AAA18C2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605" w:type="dxa"/>
            <w:vAlign w:val="center"/>
          </w:tcPr>
          <w:p w14:paraId="5A84A18B" w14:textId="77777777" w:rsidR="00497306" w:rsidRDefault="006375FF">
            <w:pPr>
              <w:spacing w:before="6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10.9</w:t>
            </w:r>
          </w:p>
        </w:tc>
      </w:tr>
    </w:tbl>
    <w:p w14:paraId="128B0F85" w14:textId="77777777" w:rsidR="00497306" w:rsidRDefault="0049730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  <w:sectPr w:rsidR="00497306">
          <w:pgSz w:w="11906" w:h="16838"/>
          <w:pgMar w:top="1440" w:right="1134" w:bottom="1134" w:left="1133" w:header="964" w:footer="964" w:gutter="0"/>
          <w:pgNumType w:start="1"/>
          <w:cols w:space="720"/>
        </w:sectPr>
      </w:pPr>
    </w:p>
    <w:p w14:paraId="7BDF21AD" w14:textId="77777777" w:rsidR="00497306" w:rsidRPr="00BD5682" w:rsidRDefault="005268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284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2</w:t>
      </w:r>
      <w:r w:rsidR="006375FF" w:rsidRPr="00BD5682">
        <w:rPr>
          <w:rFonts w:ascii="Arial" w:eastAsia="Arial" w:hAnsi="Arial" w:cs="Arial"/>
          <w:b/>
          <w:sz w:val="18"/>
          <w:szCs w:val="18"/>
        </w:rPr>
        <w:t>. Доведення</w:t>
      </w:r>
    </w:p>
    <w:p w14:paraId="3A1BEB2D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Ви можете розмістити доведення в окремому розділі або відразу після тверджень. </w:t>
      </w:r>
    </w:p>
    <w:p w14:paraId="5C19E49A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i/>
          <w:color w:val="434343"/>
          <w:sz w:val="18"/>
          <w:szCs w:val="18"/>
        </w:rPr>
        <w:t>Доведення Теореми 1.</w:t>
      </w:r>
      <w:r>
        <w:rPr>
          <w:rFonts w:ascii="Arial" w:eastAsia="Arial" w:hAnsi="Arial" w:cs="Arial"/>
          <w:color w:val="434343"/>
          <w:sz w:val="18"/>
          <w:szCs w:val="18"/>
        </w:rPr>
        <w:t xml:space="preserve"> Оскільки гаусівські процеси є...</w:t>
      </w:r>
    </w:p>
    <w:tbl>
      <w:tblPr>
        <w:tblStyle w:val="ab"/>
        <w:tblW w:w="963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784"/>
        <w:gridCol w:w="851"/>
      </w:tblGrid>
      <w:tr w:rsidR="00497306" w14:paraId="366EDD41" w14:textId="77777777">
        <w:tc>
          <w:tcPr>
            <w:tcW w:w="8784" w:type="dxa"/>
            <w:vAlign w:val="center"/>
          </w:tcPr>
          <w:p w14:paraId="6863DE2E" w14:textId="77777777" w:rsidR="00497306" w:rsidRDefault="00394B0A">
            <w:pPr>
              <w:jc w:val="center"/>
              <w:rPr>
                <w:rFonts w:ascii="Cambria Math" w:eastAsia="Cambria Math" w:hAnsi="Cambria Math" w:cs="Cambria Math"/>
                <w:color w:val="434343"/>
                <w:sz w:val="18"/>
                <w:szCs w:val="18"/>
              </w:rPr>
            </w:pPr>
            <m:oMathPara>
              <m:oMath>
                <m:nary>
                  <m:naryPr>
                    <m:ctrlPr>
                      <w:rPr>
                        <w:rFonts w:ascii="Cambria Math" w:hAnsi="Cambria Math"/>
                      </w:rPr>
                    </m:ctrlPr>
                  </m:naryPr>
                  <m:sub/>
                  <m:sup/>
                  <m:e/>
                </m:nary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Ef</m:t>
                </m:r>
                <m:d>
                  <m:dPr>
                    <m:ctrlP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434343"/>
                        <w:sz w:val="18"/>
                        <w:szCs w:val="18"/>
                      </w:rPr>
                      <m:t>x</m:t>
                    </m:r>
                  </m:e>
                </m:d>
                <m:r>
                  <w:rPr>
                    <w:rFonts w:ascii="Cambria Math" w:eastAsia="Cambria Math" w:hAnsi="Cambria Math" w:cs="Cambria Math"/>
                    <w:color w:val="434343"/>
                    <w:sz w:val="18"/>
                    <w:szCs w:val="18"/>
                  </w:rPr>
                  <m:t>dx&lt;∞</m:t>
                </m:r>
              </m:oMath>
            </m:oMathPara>
          </w:p>
        </w:tc>
        <w:tc>
          <w:tcPr>
            <w:tcW w:w="851" w:type="dxa"/>
            <w:vAlign w:val="center"/>
          </w:tcPr>
          <w:p w14:paraId="5A4F7CAD" w14:textId="77777777" w:rsidR="00497306" w:rsidRDefault="00497306">
            <w:pPr>
              <w:spacing w:before="60" w:after="60"/>
              <w:ind w:firstLine="284"/>
              <w:jc w:val="center"/>
              <w:rPr>
                <w:rFonts w:ascii="Arial" w:eastAsia="Arial" w:hAnsi="Arial" w:cs="Arial"/>
                <w:color w:val="434343"/>
                <w:sz w:val="18"/>
                <w:szCs w:val="18"/>
              </w:rPr>
            </w:pPr>
          </w:p>
        </w:tc>
      </w:tr>
    </w:tbl>
    <w:p w14:paraId="562AC960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right"/>
        <w:rPr>
          <w:rFonts w:ascii="Arial" w:eastAsia="Arial" w:hAnsi="Arial" w:cs="Arial"/>
          <w:color w:val="434343"/>
          <w:sz w:val="18"/>
          <w:szCs w:val="18"/>
        </w:rPr>
      </w:pPr>
      <w:r>
        <w:rPr>
          <w:rFonts w:ascii="Arial" w:eastAsia="Arial" w:hAnsi="Arial" w:cs="Arial"/>
          <w:color w:val="434343"/>
          <w:sz w:val="18"/>
          <w:szCs w:val="18"/>
        </w:rPr>
        <w:t>□</w:t>
      </w:r>
    </w:p>
    <w:p w14:paraId="427C3BA5" w14:textId="77777777" w:rsidR="00497306" w:rsidRPr="003139D1" w:rsidRDefault="005268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284"/>
        <w:jc w:val="both"/>
        <w:rPr>
          <w:rFonts w:ascii="Arial" w:eastAsia="Arial" w:hAnsi="Arial" w:cs="Arial"/>
          <w:b/>
          <w:sz w:val="18"/>
          <w:szCs w:val="18"/>
        </w:rPr>
      </w:pPr>
      <w:r w:rsidRPr="003139D1">
        <w:rPr>
          <w:rFonts w:ascii="Arial" w:eastAsia="Arial" w:hAnsi="Arial" w:cs="Arial"/>
          <w:b/>
          <w:sz w:val="18"/>
          <w:szCs w:val="18"/>
        </w:rPr>
        <w:t>3</w:t>
      </w:r>
      <w:r w:rsidR="006375FF" w:rsidRPr="003139D1">
        <w:rPr>
          <w:rFonts w:ascii="Arial" w:eastAsia="Arial" w:hAnsi="Arial" w:cs="Arial"/>
          <w:b/>
          <w:sz w:val="18"/>
          <w:szCs w:val="18"/>
        </w:rPr>
        <w:t>. Приклади</w:t>
      </w:r>
    </w:p>
    <w:p w14:paraId="330905A1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28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Тут можна було додати кілька прикладів, що демонструють використання доведених тверджень. Але це не є обов'язковим. </w:t>
      </w:r>
    </w:p>
    <w:p w14:paraId="7C29BF69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sz w:val="18"/>
          <w:szCs w:val="18"/>
        </w:rPr>
        <w:t>Приклад 1.</w:t>
      </w:r>
      <w:r>
        <w:rPr>
          <w:rFonts w:ascii="Arial" w:eastAsia="Arial" w:hAnsi="Arial" w:cs="Arial"/>
          <w:sz w:val="18"/>
          <w:szCs w:val="18"/>
        </w:rPr>
        <w:t xml:space="preserve"> У випадку коли </w:t>
      </w:r>
      <m:oMath>
        <m:r>
          <w:rPr>
            <w:rFonts w:ascii="Cambria Math" w:hAnsi="Cambria Math"/>
          </w:rPr>
          <m:t>σ</m:t>
        </m:r>
        <m:r>
          <w:rPr>
            <w:rFonts w:ascii="Cambria Math" w:eastAsia="Cambria Math" w:hAnsi="Cambria Math" w:cs="Cambria Math"/>
            <w:sz w:val="18"/>
            <w:szCs w:val="18"/>
          </w:rPr>
          <m:t xml:space="preserve"> = α = 1</m:t>
        </m:r>
      </m:oMath>
      <w:r>
        <w:rPr>
          <w:rFonts w:ascii="Arial" w:eastAsia="Arial" w:hAnsi="Arial" w:cs="Arial"/>
          <w:sz w:val="18"/>
          <w:szCs w:val="18"/>
        </w:rPr>
        <w:t xml:space="preserve">, </w:t>
      </w:r>
      <m:oMath>
        <m:r>
          <w:rPr>
            <w:rFonts w:ascii="Cambria Math" w:eastAsia="Cambria Math" w:hAnsi="Cambria Math" w:cs="Cambria Math"/>
            <w:sz w:val="18"/>
            <w:szCs w:val="18"/>
          </w:rPr>
          <m:t>p = 2</m:t>
        </m:r>
      </m:oMath>
      <w:r>
        <w:rPr>
          <w:rFonts w:ascii="Arial" w:eastAsia="Arial" w:hAnsi="Arial" w:cs="Arial"/>
          <w:sz w:val="18"/>
          <w:szCs w:val="18"/>
        </w:rPr>
        <w:t xml:space="preserve">, </w:t>
      </w:r>
      <m:oMath>
        <m:r>
          <w:rPr>
            <w:rFonts w:ascii="Cambria Math" w:eastAsia="Cambria Math" w:hAnsi="Cambria Math" w:cs="Cambria Math"/>
            <w:sz w:val="18"/>
            <w:szCs w:val="18"/>
          </w:rPr>
          <m:t xml:space="preserve"> t ∈ [0, 10]</m:t>
        </m:r>
      </m:oMath>
      <w:r>
        <w:rPr>
          <w:rFonts w:ascii="Arial" w:eastAsia="Arial" w:hAnsi="Arial" w:cs="Arial"/>
          <w:sz w:val="18"/>
          <w:szCs w:val="18"/>
        </w:rPr>
        <w:t xml:space="preserve"> для заданої точності </w:t>
      </w:r>
      <m:oMath>
        <m:r>
          <w:rPr>
            <w:rFonts w:ascii="Cambria Math" w:hAnsi="Cambria Math"/>
          </w:rPr>
          <m:t>δ</m:t>
        </m:r>
        <m:r>
          <w:rPr>
            <w:rFonts w:ascii="Cambria Math" w:eastAsia="Cambria Math" w:hAnsi="Cambria Math" w:cs="Cambria Math"/>
            <w:sz w:val="18"/>
            <w:szCs w:val="18"/>
          </w:rPr>
          <m:t xml:space="preserve"> = 0.1</m:t>
        </m:r>
      </m:oMath>
      <w:r>
        <w:rPr>
          <w:rFonts w:ascii="Arial" w:eastAsia="Arial" w:hAnsi="Arial" w:cs="Arial"/>
          <w:sz w:val="18"/>
          <w:szCs w:val="18"/>
        </w:rPr>
        <w:t xml:space="preserve"> та надійності </w:t>
      </w:r>
      <m:oMath>
        <m:r>
          <w:rPr>
            <w:rFonts w:ascii="Cambria Math" w:eastAsia="Cambria Math" w:hAnsi="Cambria Math" w:cs="Cambria Math"/>
            <w:sz w:val="18"/>
            <w:szCs w:val="18"/>
          </w:rPr>
          <m:t>1 - ν = 0.05</m:t>
        </m:r>
      </m:oMath>
      <w:r>
        <w:rPr>
          <w:rFonts w:ascii="Arial" w:eastAsia="Arial" w:hAnsi="Arial" w:cs="Arial"/>
          <w:sz w:val="18"/>
          <w:szCs w:val="18"/>
        </w:rPr>
        <w:t xml:space="preserve"> ми знайшли значення </w:t>
      </w:r>
      <m:oMath>
        <m:r>
          <w:rPr>
            <w:rFonts w:ascii="Cambria Math" w:eastAsia="Cambria Math" w:hAnsi="Cambria Math" w:cs="Cambria Math"/>
            <w:sz w:val="18"/>
            <w:szCs w:val="18"/>
          </w:rPr>
          <m:t xml:space="preserve">N = 14 · </m:t>
        </m:r>
        <m:sSup>
          <m:sSupPr>
            <m:ctrlPr>
              <w:rPr>
                <w:rFonts w:ascii="Cambria Math" w:eastAsia="Cambria Math" w:hAnsi="Cambria Math" w:cs="Cambria Math"/>
                <w:sz w:val="18"/>
                <w:szCs w:val="18"/>
              </w:rPr>
            </m:ctrlPr>
          </m:sSupPr>
          <m:e>
            <m:r>
              <w:rPr>
                <w:rFonts w:ascii="Cambria Math" w:eastAsia="Cambria Math" w:hAnsi="Cambria Math" w:cs="Cambria Math"/>
                <w:sz w:val="18"/>
                <w:szCs w:val="18"/>
              </w:rPr>
              <m:t>10</m:t>
            </m:r>
          </m:e>
          <m:sup>
            <m:r>
              <w:rPr>
                <w:rFonts w:ascii="Cambria Math" w:eastAsia="Cambria Math" w:hAnsi="Cambria Math" w:cs="Cambria Math"/>
                <w:sz w:val="18"/>
                <w:szCs w:val="18"/>
              </w:rPr>
              <m:t>9</m:t>
            </m:r>
          </m:sup>
        </m:sSup>
      </m:oMath>
      <w:r>
        <w:rPr>
          <w:rFonts w:ascii="Arial" w:eastAsia="Arial" w:hAnsi="Arial" w:cs="Arial"/>
          <w:sz w:val="18"/>
          <w:szCs w:val="18"/>
        </w:rPr>
        <w:t xml:space="preserve">, що відповідає інтервалу </w:t>
      </w:r>
      <m:oMath>
        <m:r>
          <w:rPr>
            <w:rFonts w:ascii="Cambria Math" w:eastAsia="Cambria Math" w:hAnsi="Cambria Math" w:cs="Cambria Math"/>
            <w:sz w:val="18"/>
            <w:szCs w:val="18"/>
          </w:rPr>
          <m:t>[-Λ, Λ] = [-1000, 1000].</m:t>
        </m:r>
      </m:oMath>
    </w:p>
    <w:p w14:paraId="68A11BC0" w14:textId="77777777" w:rsidR="00497306" w:rsidRPr="00BD5682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284"/>
        <w:jc w:val="both"/>
        <w:rPr>
          <w:rFonts w:ascii="Arial" w:eastAsia="Arial" w:hAnsi="Arial" w:cs="Arial"/>
          <w:b/>
          <w:sz w:val="18"/>
          <w:szCs w:val="18"/>
        </w:rPr>
      </w:pPr>
      <w:r w:rsidRPr="00BD5682">
        <w:rPr>
          <w:rFonts w:ascii="Arial" w:eastAsia="Arial" w:hAnsi="Arial" w:cs="Arial"/>
          <w:b/>
          <w:sz w:val="18"/>
          <w:szCs w:val="18"/>
        </w:rPr>
        <w:t>Дискусія і висновки</w:t>
      </w:r>
    </w:p>
    <w:p w14:paraId="07B2714A" w14:textId="77777777" w:rsidR="00497306" w:rsidRPr="005268D0" w:rsidRDefault="006375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284"/>
        <w:jc w:val="both"/>
        <w:rPr>
          <w:rFonts w:ascii="Arial" w:eastAsia="Arial" w:hAnsi="Arial" w:cs="Arial"/>
          <w:color w:val="000000"/>
          <w:sz w:val="18"/>
          <w:szCs w:val="18"/>
          <w:highlight w:val="white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Інтерпретація результатів у контексті досліджень інших авторів, об’єктивне порівняння основних результатів дослідження з уже опублікованими статтями на цю тему (пояснення того, як результати, отримані іншими авторами, підтверджують або спростовують результати дослідження, описані в статті), відповіді на поставлені в дослідженні </w:t>
      </w:r>
      <w:r>
        <w:rPr>
          <w:rFonts w:ascii="Arial" w:eastAsia="Arial" w:hAnsi="Arial" w:cs="Arial"/>
          <w:color w:val="000000"/>
          <w:sz w:val="18"/>
          <w:szCs w:val="18"/>
        </w:rPr>
        <w:lastRenderedPageBreak/>
        <w:t>дослідницькі питання (зазначені в кінці вступу). Практичне значення та перспективи подальших досліджень.</w:t>
      </w:r>
      <w:r w:rsidR="005268D0" w:rsidRPr="00874FF8">
        <w:rPr>
          <w:rFonts w:ascii="Arial" w:eastAsia="Arial" w:hAnsi="Arial" w:cs="Arial"/>
          <w:color w:val="000000"/>
          <w:sz w:val="18"/>
          <w:szCs w:val="18"/>
          <w:lang w:val="ru-RU"/>
        </w:rPr>
        <w:t xml:space="preserve"> </w:t>
      </w:r>
      <w:r w:rsidR="005268D0" w:rsidRPr="005268D0">
        <w:rPr>
          <w:rFonts w:ascii="Arial" w:eastAsia="Arial" w:hAnsi="Arial" w:cs="Arial"/>
          <w:color w:val="000000"/>
          <w:sz w:val="18"/>
          <w:szCs w:val="18"/>
          <w:highlight w:val="yellow"/>
        </w:rPr>
        <w:t>Зверніть увагу, що розділи «Вступ» та «Дискусія та висновки» не нумеруються.</w:t>
      </w:r>
    </w:p>
    <w:p w14:paraId="63B0E3DF" w14:textId="77777777" w:rsidR="00497306" w:rsidRDefault="00497306">
      <w:pPr>
        <w:spacing w:after="0" w:line="240" w:lineRule="auto"/>
        <w:ind w:firstLine="284"/>
        <w:jc w:val="both"/>
        <w:rPr>
          <w:rFonts w:ascii="Arial" w:eastAsia="Arial" w:hAnsi="Arial" w:cs="Arial"/>
          <w:b/>
          <w:sz w:val="18"/>
          <w:szCs w:val="18"/>
        </w:rPr>
      </w:pPr>
    </w:p>
    <w:p w14:paraId="1422C080" w14:textId="77777777" w:rsidR="00497306" w:rsidRDefault="006375FF">
      <w:pPr>
        <w:spacing w:after="0" w:line="240" w:lineRule="auto"/>
        <w:ind w:firstLine="284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  <w:highlight w:val="white"/>
        </w:rPr>
        <w:t xml:space="preserve">Внесок авторів: </w:t>
      </w:r>
      <w:r>
        <w:rPr>
          <w:rFonts w:ascii="Arial" w:eastAsia="Arial" w:hAnsi="Arial" w:cs="Arial"/>
          <w:sz w:val="16"/>
          <w:szCs w:val="16"/>
        </w:rPr>
        <w:t>Ім'я Прізвище — концептуалізація; методика; Ім’я Прізвище — програмне забезпечення; Ім'я Прізвище — збір і перевірка емпіричних даних; Ім'я Прізвище — емпіричне дослідження; Ім'я Прізвище — аналіз джерел, підготовка огляду літератури або теоретичних основ дослідження.</w:t>
      </w:r>
    </w:p>
    <w:p w14:paraId="143FA3DA" w14:textId="77777777" w:rsidR="00497306" w:rsidRDefault="00497306">
      <w:pPr>
        <w:spacing w:after="0" w:line="240" w:lineRule="auto"/>
        <w:ind w:firstLine="284"/>
        <w:rPr>
          <w:rFonts w:ascii="Arial" w:eastAsia="Arial" w:hAnsi="Arial" w:cs="Arial"/>
          <w:sz w:val="16"/>
          <w:szCs w:val="16"/>
        </w:rPr>
      </w:pPr>
    </w:p>
    <w:p w14:paraId="687DA242" w14:textId="77777777" w:rsidR="00497306" w:rsidRDefault="006375FF">
      <w:pPr>
        <w:spacing w:after="0" w:line="240" w:lineRule="auto"/>
        <w:ind w:firstLine="284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Подяка, джерела фінансування. </w:t>
      </w:r>
      <w:r>
        <w:rPr>
          <w:rFonts w:ascii="Arial" w:eastAsia="Arial" w:hAnsi="Arial" w:cs="Arial"/>
          <w:sz w:val="16"/>
          <w:szCs w:val="16"/>
        </w:rPr>
        <w:t>Ця робота була підтримана Радою фундаментальних досліджень (грант № xxxx). Якщо конкретного фінансування не було, то цей пункт не писати.</w:t>
      </w:r>
    </w:p>
    <w:p w14:paraId="36C6A36E" w14:textId="77777777" w:rsidR="00497306" w:rsidRDefault="00497306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7D788A8C" w14:textId="77777777" w:rsidR="00497306" w:rsidRPr="00B27986" w:rsidRDefault="006375FF" w:rsidP="00B27986">
      <w:pPr>
        <w:shd w:val="clear" w:color="auto" w:fill="FFFFFF"/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 w:rsidRPr="00B27986">
        <w:rPr>
          <w:rFonts w:ascii="Arial" w:eastAsia="Arial" w:hAnsi="Arial" w:cs="Arial"/>
          <w:b/>
          <w:sz w:val="16"/>
          <w:szCs w:val="16"/>
        </w:rPr>
        <w:t>Список використаних джерел</w:t>
      </w:r>
    </w:p>
    <w:p w14:paraId="14682A07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Женченко, М. (2019). </w:t>
      </w:r>
      <w:r w:rsidRPr="00951C51">
        <w:rPr>
          <w:rFonts w:ascii="Arial" w:eastAsia="Arial" w:hAnsi="Arial" w:cs="Arial"/>
          <w:i/>
          <w:color w:val="000000"/>
          <w:sz w:val="16"/>
          <w:szCs w:val="16"/>
        </w:rPr>
        <w:t>Цифрові трансформації видавничої галузі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 w:rsidR="00951C51" w:rsidRPr="00874FF8">
        <w:rPr>
          <w:rFonts w:ascii="Arial" w:eastAsia="Arial" w:hAnsi="Arial" w:cs="Arial"/>
          <w:color w:val="000000"/>
          <w:sz w:val="16"/>
          <w:szCs w:val="16"/>
        </w:rPr>
        <w:t>(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>2-ге вид., переробл. і доповн.</w:t>
      </w:r>
      <w:r w:rsidR="00951C51" w:rsidRPr="00874FF8">
        <w:rPr>
          <w:rFonts w:ascii="Arial" w:eastAsia="Arial" w:hAnsi="Arial" w:cs="Arial"/>
          <w:color w:val="000000"/>
          <w:sz w:val="16"/>
          <w:szCs w:val="16"/>
        </w:rPr>
        <w:t>).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 Жнець. https://www.zhnets.com.ua/ zhenchenko-maryna-tsyfrovi-transformatsiyi-vydavnychoyi-galuzi-kyyiv-zhnets-2019-2-ge-vyd-zmin-409-s/</w:t>
      </w:r>
    </w:p>
    <w:p w14:paraId="7B210A1C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Ben Khemis, S. (2020).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Is Deno the Node.JS killer?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 Medium. https://medium.com/javascript-in-plain-english/is-deno-the-nodejs-killer-5fdf903191f7</w:t>
      </w:r>
    </w:p>
    <w:p w14:paraId="3D8DBD86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Brück, M. (2009). </w:t>
      </w:r>
      <w:r w:rsidRPr="00951C51">
        <w:rPr>
          <w:rFonts w:ascii="Arial" w:eastAsia="Arial" w:hAnsi="Arial" w:cs="Arial"/>
          <w:i/>
          <w:color w:val="000000"/>
          <w:sz w:val="16"/>
          <w:szCs w:val="16"/>
        </w:rPr>
        <w:t>Women in early British and Irish astronomy: Stars and satellites.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 Springer Nature. https:/doi.org/10.1007/978-90-481-2473-2.</w:t>
      </w:r>
    </w:p>
    <w:p w14:paraId="01AC8025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Covey, S. R. (2013).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The 7 habits of highly effective people: Powerful lessons in personal change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>. Simon &amp; Schuster.</w:t>
      </w:r>
    </w:p>
    <w:p w14:paraId="51BCC356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Evans, A. C., Jr., Garbarino, J., Bocanegra, E., Kinscherff, R. T., &amp; Márquez-Greene, N. (2019, August 8–11). Gun violence: An event on the power of community [Conference presentation]. APA 2019 Convention, Chicago, IL, United States. </w:t>
      </w:r>
      <w:hyperlink r:id="rId8">
        <w:r w:rsidRPr="00B27986">
          <w:rPr>
            <w:rFonts w:ascii="Arial" w:eastAsia="Arial" w:hAnsi="Arial" w:cs="Arial"/>
            <w:color w:val="000000"/>
            <w:sz w:val="16"/>
            <w:szCs w:val="16"/>
            <w:u w:val="single"/>
          </w:rPr>
          <w:t>https://convention.apa.org/2019-video</w:t>
        </w:r>
      </w:hyperlink>
    </w:p>
    <w:p w14:paraId="519EA76A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Grady, J. S., Her, M., Moreno, G., Perez, C., &amp; Yelinek, J. (2019). Emotions in storybooks: A comparison of storybooks that represent ethnic and racial groups in the United States.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Psychology of Popular Media Culture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, </w:t>
      </w:r>
      <w:r w:rsidRPr="00951C51">
        <w:rPr>
          <w:rFonts w:ascii="Arial" w:eastAsia="Arial" w:hAnsi="Arial" w:cs="Arial"/>
          <w:color w:val="000000"/>
          <w:sz w:val="16"/>
          <w:szCs w:val="16"/>
        </w:rPr>
        <w:t>8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(3), 207–217. </w:t>
      </w:r>
      <w:hyperlink r:id="rId9">
        <w:r w:rsidRPr="00B27986">
          <w:rPr>
            <w:rFonts w:ascii="Arial" w:eastAsia="Arial" w:hAnsi="Arial" w:cs="Arial"/>
            <w:color w:val="000000"/>
            <w:sz w:val="16"/>
            <w:szCs w:val="16"/>
            <w:u w:val="single"/>
          </w:rPr>
          <w:t>https://doi.org/10.1037/ppm0000185</w:t>
        </w:r>
      </w:hyperlink>
    </w:p>
    <w:p w14:paraId="4E8970F0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>Harris, L. (2014). Instructional leadership perceptions and practices of elementary school leaders [Unpublished doctoral dissertation]. University of Virginia.</w:t>
      </w:r>
    </w:p>
    <w:p w14:paraId="09BE8274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  <w:shd w:val="clear" w:color="auto" w:fill="EDF9F9"/>
        </w:rPr>
        <w:t>S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vendsen, S., &amp; Løber, L. (2020).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The big picture/Academic writing: The one-hour guide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 (3rd digital ed.). Hans Reitzel Forlag. </w:t>
      </w:r>
      <w:hyperlink r:id="rId10">
        <w:r w:rsidRPr="00B27986">
          <w:rPr>
            <w:rFonts w:ascii="Arial" w:eastAsia="Arial" w:hAnsi="Arial" w:cs="Arial"/>
            <w:color w:val="000000"/>
            <w:sz w:val="16"/>
            <w:szCs w:val="16"/>
            <w:u w:val="single"/>
          </w:rPr>
          <w:t>https://thebigpicture-academicwriting.digi.hansreitzel.dk/</w:t>
        </w:r>
      </w:hyperlink>
    </w:p>
    <w:p w14:paraId="6C9F58C1" w14:textId="77777777" w:rsidR="00497306" w:rsidRPr="00B27986" w:rsidRDefault="004973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8"/>
        <w:jc w:val="both"/>
        <w:rPr>
          <w:rFonts w:ascii="Arial" w:eastAsia="Arial" w:hAnsi="Arial" w:cs="Arial"/>
          <w:sz w:val="16"/>
          <w:szCs w:val="16"/>
        </w:rPr>
      </w:pPr>
    </w:p>
    <w:p w14:paraId="381CE24B" w14:textId="77777777" w:rsidR="00497306" w:rsidRPr="00B27986" w:rsidRDefault="006375FF" w:rsidP="00B27986">
      <w:pPr>
        <w:shd w:val="clear" w:color="auto" w:fill="FFFFFF"/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 w:rsidRPr="00B27986">
        <w:rPr>
          <w:rFonts w:ascii="Arial" w:eastAsia="Arial" w:hAnsi="Arial" w:cs="Arial"/>
          <w:b/>
          <w:sz w:val="16"/>
          <w:szCs w:val="16"/>
        </w:rPr>
        <w:t>References</w:t>
      </w:r>
    </w:p>
    <w:p w14:paraId="47222C97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Ben Khemis, S. (2020).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Is Deno the Node.JS killer?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 Medium. https://medium.com/javascript-in-plain-english/is-deno-the-nodejs-killer-5fdf903191f7</w:t>
      </w:r>
    </w:p>
    <w:p w14:paraId="0515726D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Brück, M. (2009).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Women in early British and Irish astronomy: Stars and satellites.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 Springer Nature. https:/doi.org/10.1007/978-90-481-2473-2.</w:t>
      </w:r>
    </w:p>
    <w:p w14:paraId="22D383B6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Covey, S. R. (2013).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The 7 habits of highly effective people: Powerful lessons in personal change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>. Simon &amp; Schuster.</w:t>
      </w:r>
    </w:p>
    <w:p w14:paraId="277094DE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Evans, A. C., Jr., Garbarino, J., Bocanegra, E., Kinscherff, R. T., &amp; Márquez-Greene, N. (2019, August 8–11). Gun violence: An event on the power of community [Conference presentation]. APA 2019 Convention, Chicago, IL, United States. </w:t>
      </w:r>
      <w:hyperlink r:id="rId11">
        <w:r w:rsidRPr="00B27986">
          <w:rPr>
            <w:rFonts w:ascii="Arial" w:eastAsia="Arial" w:hAnsi="Arial" w:cs="Arial"/>
            <w:color w:val="000000"/>
            <w:sz w:val="16"/>
            <w:szCs w:val="16"/>
            <w:u w:val="single"/>
          </w:rPr>
          <w:t>https://convention.apa.org/2019-video</w:t>
        </w:r>
      </w:hyperlink>
    </w:p>
    <w:p w14:paraId="250BC185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Grady, J. S., Her, M., Moreno, G., Perez, C., &amp; Yelinek, J. (2019). Emotions in storybooks: A comparison of storybooks that represent ethnic and racial groups in the United States.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Psychology of Popular Media Culture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, 8(3), 207–217. </w:t>
      </w:r>
      <w:hyperlink r:id="rId12">
        <w:r w:rsidRPr="00B27986">
          <w:rPr>
            <w:rFonts w:ascii="Arial" w:eastAsia="Arial" w:hAnsi="Arial" w:cs="Arial"/>
            <w:color w:val="000000"/>
            <w:sz w:val="16"/>
            <w:szCs w:val="16"/>
            <w:u w:val="single"/>
          </w:rPr>
          <w:t>https://doi.org/10.1037/ppm0000185</w:t>
        </w:r>
      </w:hyperlink>
    </w:p>
    <w:p w14:paraId="4F0BDFFC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>Harris, L. (2014). Instructional leadership perceptions and practices of elementary school leaders [Unpublished doctoral dissertation]. University of Virginia.</w:t>
      </w:r>
    </w:p>
    <w:p w14:paraId="159CAA21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  <w:shd w:val="clear" w:color="auto" w:fill="EDF9F9"/>
        </w:rPr>
        <w:t>S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vendsen, S., &amp; Løber, L. (2020). </w:t>
      </w:r>
      <w:r w:rsidRPr="00B27986">
        <w:rPr>
          <w:rFonts w:ascii="Arial" w:eastAsia="Arial" w:hAnsi="Arial" w:cs="Arial"/>
          <w:i/>
          <w:color w:val="000000"/>
          <w:sz w:val="16"/>
          <w:szCs w:val="16"/>
        </w:rPr>
        <w:t>The big picture/Academic writing: The one-hour guide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 (3rd digital ed.). Hans Reitzel Forlag. </w:t>
      </w:r>
      <w:hyperlink r:id="rId13">
        <w:r w:rsidRPr="00B27986">
          <w:rPr>
            <w:rFonts w:ascii="Arial" w:eastAsia="Arial" w:hAnsi="Arial" w:cs="Arial"/>
            <w:color w:val="000000"/>
            <w:sz w:val="16"/>
            <w:szCs w:val="16"/>
            <w:u w:val="single"/>
          </w:rPr>
          <w:t>https://thebigpicture-academicwriting.digi.hansreitzel.dk/</w:t>
        </w:r>
      </w:hyperlink>
    </w:p>
    <w:p w14:paraId="363776D3" w14:textId="77777777" w:rsidR="00497306" w:rsidRPr="00B27986" w:rsidRDefault="006375FF" w:rsidP="00B27986">
      <w:pPr>
        <w:pBdr>
          <w:top w:val="nil"/>
          <w:left w:val="nil"/>
          <w:bottom w:val="nil"/>
          <w:right w:val="nil"/>
          <w:between w:val="nil"/>
        </w:pBdr>
        <w:spacing w:after="0"/>
        <w:ind w:left="270" w:hanging="27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Zhenchenko M. (2019). </w:t>
      </w:r>
      <w:r w:rsidRPr="00951C51">
        <w:rPr>
          <w:rFonts w:ascii="Arial" w:eastAsia="Arial" w:hAnsi="Arial" w:cs="Arial"/>
          <w:i/>
          <w:color w:val="000000"/>
          <w:sz w:val="16"/>
          <w:szCs w:val="16"/>
        </w:rPr>
        <w:t>Digital transformation publishing indust</w:t>
      </w:r>
      <w:r w:rsidR="00951C51">
        <w:rPr>
          <w:rFonts w:ascii="Arial" w:eastAsia="Arial" w:hAnsi="Arial" w:cs="Arial"/>
          <w:i/>
          <w:color w:val="000000"/>
          <w:sz w:val="16"/>
          <w:szCs w:val="16"/>
        </w:rPr>
        <w:t>ry</w:t>
      </w:r>
      <w:r w:rsidR="00B27986">
        <w:rPr>
          <w:rFonts w:ascii="Arial" w:eastAsia="Arial" w:hAnsi="Arial" w:cs="Arial"/>
          <w:color w:val="000000"/>
          <w:sz w:val="16"/>
          <w:szCs w:val="16"/>
        </w:rPr>
        <w:t xml:space="preserve"> (2</w:t>
      </w:r>
      <w:r w:rsidR="00B27986">
        <w:rPr>
          <w:rFonts w:ascii="Arial" w:eastAsia="Arial" w:hAnsi="Arial" w:cs="Arial"/>
          <w:color w:val="000000"/>
          <w:sz w:val="16"/>
          <w:szCs w:val="16"/>
          <w:lang w:val="en-US"/>
        </w:rPr>
        <w:t>nd</w:t>
      </w:r>
      <w:r w:rsidR="00B27986" w:rsidRPr="00B27986">
        <w:rPr>
          <w:rFonts w:ascii="Arial" w:eastAsia="Arial" w:hAnsi="Arial" w:cs="Arial"/>
          <w:color w:val="000000"/>
          <w:sz w:val="16"/>
          <w:szCs w:val="16"/>
        </w:rPr>
        <w:t xml:space="preserve"> ed.).</w:t>
      </w:r>
      <w:r w:rsidR="00B27986">
        <w:rPr>
          <w:rFonts w:ascii="Arial" w:eastAsia="Arial" w:hAnsi="Arial" w:cs="Arial"/>
          <w:color w:val="000000"/>
          <w:sz w:val="16"/>
          <w:szCs w:val="16"/>
        </w:rPr>
        <w:t xml:space="preserve"> Zhnets. </w:t>
      </w:r>
      <w:r w:rsidRPr="00B27986">
        <w:rPr>
          <w:rFonts w:ascii="Arial" w:eastAsia="Arial" w:hAnsi="Arial" w:cs="Arial"/>
          <w:color w:val="000000"/>
          <w:sz w:val="16"/>
          <w:szCs w:val="16"/>
        </w:rPr>
        <w:t xml:space="preserve">https://www.zhnets.com.ua/ zhenchenko-maryna-tsyfrovi-transformatsiyi-vydavnychoyi -galuzi-kyyiv-zhnets-2019-2-ge-vyd-zmin-409-s/ </w:t>
      </w:r>
    </w:p>
    <w:p w14:paraId="08D65765" w14:textId="4B15C8EA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bookmarkStart w:id="0" w:name="_heading=h.yamolktdaln3" w:colFirst="0" w:colLast="0"/>
      <w:bookmarkEnd w:id="0"/>
      <w:r>
        <w:rPr>
          <w:rFonts w:ascii="Arial" w:eastAsia="Arial" w:hAnsi="Arial" w:cs="Arial"/>
          <w:b/>
          <w:color w:val="000000"/>
          <w:sz w:val="14"/>
          <w:szCs w:val="14"/>
        </w:rPr>
        <w:t xml:space="preserve">Отримано редакцією журналу / Received: </w:t>
      </w:r>
      <w:r w:rsidR="00394B0A">
        <w:rPr>
          <w:rFonts w:ascii="Arial" w:eastAsia="Arial" w:hAnsi="Arial" w:cs="Arial"/>
          <w:b/>
          <w:color w:val="000000"/>
          <w:sz w:val="14"/>
          <w:szCs w:val="14"/>
        </w:rPr>
        <w:t>25</w:t>
      </w:r>
      <w:r>
        <w:rPr>
          <w:rFonts w:ascii="Arial" w:eastAsia="Arial" w:hAnsi="Arial" w:cs="Arial"/>
          <w:b/>
          <w:color w:val="000000"/>
          <w:sz w:val="14"/>
          <w:szCs w:val="14"/>
        </w:rPr>
        <w:t>.0</w:t>
      </w:r>
      <w:r w:rsidR="00394B0A">
        <w:rPr>
          <w:rFonts w:ascii="Arial" w:eastAsia="Arial" w:hAnsi="Arial" w:cs="Arial"/>
          <w:b/>
          <w:color w:val="000000"/>
          <w:sz w:val="14"/>
          <w:szCs w:val="14"/>
        </w:rPr>
        <w:t>1</w:t>
      </w:r>
      <w:r>
        <w:rPr>
          <w:rFonts w:ascii="Arial" w:eastAsia="Arial" w:hAnsi="Arial" w:cs="Arial"/>
          <w:b/>
          <w:color w:val="000000"/>
          <w:sz w:val="14"/>
          <w:szCs w:val="14"/>
        </w:rPr>
        <w:t>.2</w:t>
      </w:r>
      <w:r w:rsidR="00874FF8">
        <w:rPr>
          <w:rFonts w:ascii="Arial" w:eastAsia="Arial" w:hAnsi="Arial" w:cs="Arial"/>
          <w:b/>
          <w:color w:val="000000"/>
          <w:sz w:val="14"/>
          <w:szCs w:val="14"/>
        </w:rPr>
        <w:t>5</w:t>
      </w:r>
    </w:p>
    <w:p w14:paraId="21E36FE5" w14:textId="2D595E43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right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 xml:space="preserve">Прорецензовано / Revised: </w:t>
      </w:r>
      <w:r w:rsidR="00394B0A">
        <w:rPr>
          <w:rFonts w:ascii="Arial" w:eastAsia="Arial" w:hAnsi="Arial" w:cs="Arial"/>
          <w:b/>
          <w:color w:val="000000"/>
          <w:sz w:val="14"/>
          <w:szCs w:val="14"/>
        </w:rPr>
        <w:t>__</w:t>
      </w:r>
      <w:r>
        <w:rPr>
          <w:rFonts w:ascii="Arial" w:eastAsia="Arial" w:hAnsi="Arial" w:cs="Arial"/>
          <w:b/>
          <w:color w:val="000000"/>
          <w:sz w:val="14"/>
          <w:szCs w:val="14"/>
        </w:rPr>
        <w:t>.</w:t>
      </w:r>
      <w:r w:rsidR="00394B0A">
        <w:rPr>
          <w:rFonts w:ascii="Arial" w:eastAsia="Arial" w:hAnsi="Arial" w:cs="Arial"/>
          <w:b/>
          <w:color w:val="000000"/>
          <w:sz w:val="14"/>
          <w:szCs w:val="14"/>
        </w:rPr>
        <w:t>__</w:t>
      </w:r>
      <w:r>
        <w:rPr>
          <w:rFonts w:ascii="Arial" w:eastAsia="Arial" w:hAnsi="Arial" w:cs="Arial"/>
          <w:b/>
          <w:color w:val="000000"/>
          <w:sz w:val="14"/>
          <w:szCs w:val="14"/>
        </w:rPr>
        <w:t>.2</w:t>
      </w:r>
      <w:r w:rsidR="00874FF8">
        <w:rPr>
          <w:rFonts w:ascii="Arial" w:eastAsia="Arial" w:hAnsi="Arial" w:cs="Arial"/>
          <w:b/>
          <w:color w:val="000000"/>
          <w:sz w:val="14"/>
          <w:szCs w:val="14"/>
        </w:rPr>
        <w:t>5</w:t>
      </w:r>
    </w:p>
    <w:p w14:paraId="2D48727E" w14:textId="50DE2A19" w:rsidR="00497306" w:rsidRDefault="006375FF">
      <w:pPr>
        <w:spacing w:after="0" w:line="240" w:lineRule="auto"/>
        <w:ind w:firstLine="284"/>
        <w:jc w:val="right"/>
        <w:rPr>
          <w:rFonts w:ascii="Arial" w:eastAsia="Arial" w:hAnsi="Arial" w:cs="Arial"/>
          <w:b/>
          <w:color w:val="000000"/>
          <w:sz w:val="14"/>
          <w:szCs w:val="14"/>
        </w:rPr>
        <w:sectPr w:rsidR="00497306">
          <w:type w:val="continuous"/>
          <w:pgSz w:w="11906" w:h="16838"/>
          <w:pgMar w:top="1440" w:right="1134" w:bottom="1134" w:left="1134" w:header="964" w:footer="964" w:gutter="0"/>
          <w:pgNumType w:start="1"/>
          <w:cols w:space="720"/>
        </w:sectPr>
      </w:pPr>
      <w:r>
        <w:rPr>
          <w:rFonts w:ascii="Arial" w:eastAsia="Arial" w:hAnsi="Arial" w:cs="Arial"/>
          <w:b/>
          <w:sz w:val="14"/>
          <w:szCs w:val="14"/>
        </w:rPr>
        <w:t xml:space="preserve">Схвалено до друку / Accepted: </w:t>
      </w:r>
      <w:r w:rsidR="00394B0A">
        <w:rPr>
          <w:rFonts w:ascii="Arial" w:eastAsia="Arial" w:hAnsi="Arial" w:cs="Arial"/>
          <w:b/>
          <w:sz w:val="14"/>
          <w:szCs w:val="14"/>
        </w:rPr>
        <w:t>__</w:t>
      </w:r>
      <w:r>
        <w:rPr>
          <w:rFonts w:ascii="Arial" w:eastAsia="Arial" w:hAnsi="Arial" w:cs="Arial"/>
          <w:b/>
          <w:sz w:val="14"/>
          <w:szCs w:val="14"/>
        </w:rPr>
        <w:t>.</w:t>
      </w:r>
      <w:r w:rsidR="00394B0A">
        <w:rPr>
          <w:rFonts w:ascii="Arial" w:eastAsia="Arial" w:hAnsi="Arial" w:cs="Arial"/>
          <w:b/>
          <w:sz w:val="14"/>
          <w:szCs w:val="14"/>
        </w:rPr>
        <w:t>__</w:t>
      </w:r>
      <w:r>
        <w:rPr>
          <w:rFonts w:ascii="Arial" w:eastAsia="Arial" w:hAnsi="Arial" w:cs="Arial"/>
          <w:b/>
          <w:sz w:val="14"/>
          <w:szCs w:val="14"/>
        </w:rPr>
        <w:t>.2</w:t>
      </w:r>
      <w:r w:rsidR="00874FF8">
        <w:rPr>
          <w:rFonts w:ascii="Arial" w:eastAsia="Arial" w:hAnsi="Arial" w:cs="Arial"/>
          <w:b/>
          <w:sz w:val="14"/>
          <w:szCs w:val="14"/>
        </w:rPr>
        <w:t>5</w:t>
      </w:r>
    </w:p>
    <w:p w14:paraId="4F5D1E7E" w14:textId="77777777" w:rsidR="00497306" w:rsidRDefault="00497306">
      <w:pPr>
        <w:shd w:val="clear" w:color="auto" w:fill="FFFFFF"/>
        <w:spacing w:before="20" w:after="0" w:line="240" w:lineRule="auto"/>
        <w:jc w:val="right"/>
        <w:rPr>
          <w:rFonts w:ascii="Arial" w:eastAsia="Arial" w:hAnsi="Arial" w:cs="Arial"/>
          <w:color w:val="434343"/>
          <w:sz w:val="16"/>
          <w:szCs w:val="16"/>
        </w:rPr>
      </w:pPr>
    </w:p>
    <w:p w14:paraId="4267B5FE" w14:textId="77777777" w:rsidR="00497306" w:rsidRDefault="00497306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</w:p>
    <w:p w14:paraId="1FBDB288" w14:textId="77777777" w:rsidR="00497306" w:rsidRDefault="002A3DD8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Anna TKACH, Ph</w:t>
      </w:r>
      <w:r w:rsidR="006375FF">
        <w:rPr>
          <w:rFonts w:ascii="Arial" w:eastAsia="Arial" w:hAnsi="Arial" w:cs="Arial"/>
          <w:b/>
          <w:color w:val="000000"/>
          <w:sz w:val="14"/>
          <w:szCs w:val="14"/>
        </w:rPr>
        <w:t>D (Phys</w:t>
      </w:r>
      <w:r>
        <w:rPr>
          <w:rFonts w:ascii="Arial" w:eastAsia="Arial" w:hAnsi="Arial" w:cs="Arial"/>
          <w:b/>
          <w:color w:val="000000"/>
          <w:sz w:val="14"/>
          <w:szCs w:val="14"/>
          <w:lang w:val="en-US"/>
        </w:rPr>
        <w:t xml:space="preserve">. </w:t>
      </w:r>
      <w:r w:rsidR="006375FF">
        <w:rPr>
          <w:rFonts w:ascii="Arial" w:eastAsia="Arial" w:hAnsi="Arial" w:cs="Arial"/>
          <w:b/>
          <w:color w:val="000000"/>
          <w:sz w:val="14"/>
          <w:szCs w:val="14"/>
        </w:rPr>
        <w:t>&amp;</w:t>
      </w:r>
      <w:r>
        <w:rPr>
          <w:rFonts w:ascii="Arial" w:eastAsia="Arial" w:hAnsi="Arial" w:cs="Arial"/>
          <w:b/>
          <w:color w:val="000000"/>
          <w:sz w:val="14"/>
          <w:szCs w:val="14"/>
          <w:lang w:val="en-US"/>
        </w:rPr>
        <w:t xml:space="preserve"> </w:t>
      </w:r>
      <w:r w:rsidR="006375FF">
        <w:rPr>
          <w:rFonts w:ascii="Arial" w:eastAsia="Arial" w:hAnsi="Arial" w:cs="Arial"/>
          <w:b/>
          <w:color w:val="000000"/>
          <w:sz w:val="14"/>
          <w:szCs w:val="14"/>
        </w:rPr>
        <w:t>Math</w:t>
      </w:r>
      <w:r>
        <w:rPr>
          <w:rFonts w:ascii="Arial" w:eastAsia="Arial" w:hAnsi="Arial" w:cs="Arial"/>
          <w:b/>
          <w:color w:val="000000"/>
          <w:sz w:val="14"/>
          <w:szCs w:val="14"/>
          <w:lang w:val="en-US"/>
        </w:rPr>
        <w:t>.</w:t>
      </w:r>
      <w:r w:rsidR="006375FF">
        <w:rPr>
          <w:rFonts w:ascii="Arial" w:eastAsia="Arial" w:hAnsi="Arial" w:cs="Arial"/>
          <w:b/>
          <w:color w:val="000000"/>
          <w:sz w:val="14"/>
          <w:szCs w:val="14"/>
        </w:rPr>
        <w:t>), Assoc. Prof.</w:t>
      </w:r>
    </w:p>
    <w:p w14:paraId="4B76DC67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ORCID ID: 0000-0002-1234-5678</w:t>
      </w:r>
    </w:p>
    <w:p w14:paraId="29F242D2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e-mail: anna.tkach@knu.ua</w:t>
      </w:r>
    </w:p>
    <w:p w14:paraId="4DFA3F3D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Taras Shevchenko National University of Kyiv, Kyiv, Ukraine</w:t>
      </w:r>
    </w:p>
    <w:p w14:paraId="1458F5E8" w14:textId="77777777" w:rsidR="00497306" w:rsidRDefault="00497306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</w:p>
    <w:p w14:paraId="33DE8A97" w14:textId="77777777" w:rsidR="00497306" w:rsidRDefault="002A3DD8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Stefan LEMBERG, Ph</w:t>
      </w:r>
      <w:r w:rsidR="006375FF">
        <w:rPr>
          <w:rFonts w:ascii="Arial" w:eastAsia="Arial" w:hAnsi="Arial" w:cs="Arial"/>
          <w:b/>
          <w:color w:val="000000"/>
          <w:sz w:val="14"/>
          <w:szCs w:val="14"/>
        </w:rPr>
        <w:t>D (Economics), Prof.</w:t>
      </w:r>
    </w:p>
    <w:p w14:paraId="7B779D5E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ORCID ID: 0000-0003-4567-8901</w:t>
      </w:r>
    </w:p>
    <w:p w14:paraId="36DD092C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e-mail: st.lemberg@rug.nl</w:t>
      </w:r>
    </w:p>
    <w:p w14:paraId="58B5B7B9" w14:textId="77777777" w:rsidR="0049730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University of Groningen, Groningen, The Netherlands</w:t>
      </w:r>
    </w:p>
    <w:p w14:paraId="4E560CC6" w14:textId="77777777" w:rsidR="00497306" w:rsidRDefault="00497306">
      <w:pPr>
        <w:rPr>
          <w:rFonts w:ascii="Arial" w:eastAsia="Arial" w:hAnsi="Arial" w:cs="Arial"/>
          <w:b/>
          <w:sz w:val="16"/>
          <w:szCs w:val="16"/>
        </w:rPr>
      </w:pPr>
    </w:p>
    <w:p w14:paraId="5634D63B" w14:textId="77777777" w:rsidR="00497306" w:rsidRPr="00B27986" w:rsidRDefault="006375FF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jc w:val="center"/>
        <w:rPr>
          <w:rFonts w:ascii="Arial Black" w:eastAsia="Arial" w:hAnsi="Arial Black" w:cs="Arial"/>
          <w:b/>
          <w:smallCaps/>
          <w:color w:val="000000"/>
          <w:sz w:val="18"/>
          <w:szCs w:val="18"/>
        </w:rPr>
      </w:pPr>
      <w:r w:rsidRPr="00B27986">
        <w:rPr>
          <w:rFonts w:ascii="Arial Black" w:eastAsia="Arial" w:hAnsi="Arial Black" w:cs="Arial"/>
          <w:b/>
          <w:smallCaps/>
          <w:color w:val="000000"/>
          <w:sz w:val="18"/>
          <w:szCs w:val="18"/>
        </w:rPr>
        <w:t>TITLE OF THE ARTICLE</w:t>
      </w:r>
    </w:p>
    <w:p w14:paraId="440B6828" w14:textId="77777777" w:rsidR="00497306" w:rsidRDefault="00497306">
      <w:pPr>
        <w:pBdr>
          <w:top w:val="nil"/>
          <w:left w:val="nil"/>
          <w:bottom w:val="nil"/>
          <w:right w:val="nil"/>
          <w:between w:val="nil"/>
        </w:pBdr>
        <w:spacing w:after="0" w:line="230" w:lineRule="auto"/>
        <w:jc w:val="center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</w:p>
    <w:p w14:paraId="04A78E64" w14:textId="77777777" w:rsidR="00497306" w:rsidRPr="00BD5682" w:rsidRDefault="006375FF">
      <w:pPr>
        <w:ind w:firstLine="283"/>
        <w:jc w:val="both"/>
        <w:rPr>
          <w:rFonts w:ascii="Arial" w:eastAsia="Arial" w:hAnsi="Arial" w:cs="Arial"/>
          <w:b/>
          <w:i/>
          <w:sz w:val="14"/>
          <w:szCs w:val="14"/>
        </w:rPr>
      </w:pPr>
      <w:r w:rsidRPr="00BD5682">
        <w:rPr>
          <w:rFonts w:ascii="Arial" w:eastAsia="Arial" w:hAnsi="Arial" w:cs="Arial"/>
          <w:b/>
          <w:i/>
          <w:sz w:val="14"/>
          <w:szCs w:val="14"/>
        </w:rPr>
        <w:t xml:space="preserve">A brief description of the background of the research, its relevance and purpose. Main results and conclusions of the research. The perspectives for future research. [not less than 1 800 symbols, 200-250 words]. Translation of the abstract from the beginning of the paper. </w:t>
      </w:r>
    </w:p>
    <w:p w14:paraId="2B0E4D39" w14:textId="77777777" w:rsidR="00497306" w:rsidRPr="00BD5682" w:rsidRDefault="006375FF" w:rsidP="00BD56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 w:line="240" w:lineRule="auto"/>
        <w:ind w:firstLine="283"/>
        <w:rPr>
          <w:rFonts w:ascii="Arial" w:eastAsia="Arial" w:hAnsi="Arial" w:cs="Arial"/>
          <w:b/>
          <w:i/>
          <w:sz w:val="14"/>
          <w:szCs w:val="14"/>
        </w:rPr>
      </w:pPr>
      <w:r w:rsidRPr="00BD5682">
        <w:rPr>
          <w:rFonts w:ascii="Arial" w:eastAsia="Arial" w:hAnsi="Arial" w:cs="Arial"/>
          <w:b/>
          <w:sz w:val="14"/>
          <w:szCs w:val="14"/>
        </w:rPr>
        <w:t>Keywords:</w:t>
      </w:r>
      <w:r w:rsidRPr="00BD5682">
        <w:rPr>
          <w:rFonts w:ascii="Arial" w:eastAsia="Arial" w:hAnsi="Arial" w:cs="Arial"/>
          <w:b/>
          <w:i/>
          <w:sz w:val="18"/>
          <w:szCs w:val="18"/>
        </w:rPr>
        <w:t xml:space="preserve"> </w:t>
      </w:r>
      <w:r w:rsidRPr="00BD5682">
        <w:rPr>
          <w:rFonts w:ascii="Arial" w:eastAsia="Arial" w:hAnsi="Arial" w:cs="Arial"/>
          <w:b/>
          <w:i/>
          <w:sz w:val="14"/>
          <w:szCs w:val="14"/>
        </w:rPr>
        <w:t>4–8 words or phrases, divided by a comma (,).</w:t>
      </w:r>
    </w:p>
    <w:p w14:paraId="5EB554B4" w14:textId="77777777" w:rsidR="00BD5682" w:rsidRDefault="00BD5682" w:rsidP="00BD56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284"/>
        <w:jc w:val="both"/>
        <w:rPr>
          <w:rFonts w:ascii="Arial" w:eastAsia="Arial" w:hAnsi="Arial" w:cs="Arial"/>
          <w:color w:val="000000"/>
          <w:sz w:val="18"/>
          <w:szCs w:val="18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000000"/>
          <w:sz w:val="18"/>
          <w:szCs w:val="18"/>
        </w:rPr>
        <w:t>ДЛЯ ОДНОГО АВТОРА</w:t>
      </w:r>
    </w:p>
    <w:p w14:paraId="6D7F64CA" w14:textId="77777777" w:rsidR="00BD5682" w:rsidRDefault="00BD5682" w:rsidP="00BD56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  <w:bookmarkStart w:id="2" w:name="_heading=h.2et92p0" w:colFirst="0" w:colLast="0"/>
      <w:bookmarkEnd w:id="2"/>
      <w:r>
        <w:rPr>
          <w:rFonts w:ascii="Arial" w:eastAsia="Arial" w:hAnsi="Arial" w:cs="Arial"/>
          <w:color w:val="000000"/>
          <w:sz w:val="16"/>
          <w:szCs w:val="16"/>
        </w:rPr>
        <w:t xml:space="preserve">Автор заявляє про відсутність конфлікту інтересів. Спонсори не брали участі в розробленні дослідження; у зборі, аналізі чи </w:t>
      </w:r>
      <w:r>
        <w:rPr>
          <w:rFonts w:ascii="Arial" w:eastAsia="Arial" w:hAnsi="Arial" w:cs="Arial"/>
          <w:color w:val="000000"/>
          <w:sz w:val="16"/>
          <w:szCs w:val="16"/>
        </w:rPr>
        <w:br/>
        <w:t>інтерпретації даних; у написанні рукопису; в рішенні про публікацію результатів.</w:t>
      </w:r>
    </w:p>
    <w:p w14:paraId="4B4A8CB2" w14:textId="77777777" w:rsidR="00BD5682" w:rsidRDefault="00BD5682" w:rsidP="00BD5682">
      <w:pPr>
        <w:shd w:val="clear" w:color="auto" w:fill="FFFFFF"/>
        <w:spacing w:after="0"/>
        <w:ind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lastRenderedPageBreak/>
        <w:t>The author declares no conflicts of interest. The funders had no role in the design of the study; in the collection, analyses or interpretation of data; in the writing of the manuscript; in the decision to publish the results.</w:t>
      </w:r>
    </w:p>
    <w:p w14:paraId="0604777D" w14:textId="77777777" w:rsidR="00BD5682" w:rsidRDefault="00BD5682" w:rsidP="00BD56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74689C52" w14:textId="77777777" w:rsidR="00BD5682" w:rsidRDefault="00BD5682" w:rsidP="00BD56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284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ДЛЯ ДВОХ І БІЛЬШЕ АВТОРІВ</w:t>
      </w:r>
    </w:p>
    <w:p w14:paraId="6C41F28B" w14:textId="77777777" w:rsidR="00BD5682" w:rsidRDefault="00BD5682" w:rsidP="00BD56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Автори заявляють про відсутність конфлікту інтересів. Спонсори не брали участі в розробленні дослідження; у зборі, аналізі чи інтерпретації даних; у написанні рукопису; в рішенні про публікацію результатів. </w:t>
      </w:r>
    </w:p>
    <w:p w14:paraId="3902A8F8" w14:textId="77777777" w:rsidR="00BD5682" w:rsidRDefault="00BD5682" w:rsidP="00BD5682">
      <w:pPr>
        <w:shd w:val="clear" w:color="auto" w:fill="FFFFFF"/>
        <w:spacing w:after="0"/>
        <w:ind w:firstLine="284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The authors declare no conflicts of interest. The funders had no role in the design of the study; in the collection, analyses or interpretation of data; in the writing of the manuscript; in the decision to publish the results.</w:t>
      </w:r>
    </w:p>
    <w:p w14:paraId="36191048" w14:textId="77777777" w:rsidR="00497306" w:rsidRDefault="00497306">
      <w:pPr>
        <w:shd w:val="clear" w:color="auto" w:fill="FFFFFF"/>
        <w:spacing w:after="300" w:line="240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497306">
      <w:type w:val="continuous"/>
      <w:pgSz w:w="11906" w:h="16838"/>
      <w:pgMar w:top="1440" w:right="1134" w:bottom="1134" w:left="1134" w:header="964" w:footer="96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306"/>
    <w:rsid w:val="002A3DD8"/>
    <w:rsid w:val="003139D1"/>
    <w:rsid w:val="00394B0A"/>
    <w:rsid w:val="00497306"/>
    <w:rsid w:val="005268D0"/>
    <w:rsid w:val="006375FF"/>
    <w:rsid w:val="00874FF8"/>
    <w:rsid w:val="00951C51"/>
    <w:rsid w:val="009A5F0B"/>
    <w:rsid w:val="00B27986"/>
    <w:rsid w:val="00BD5682"/>
    <w:rsid w:val="00CB509F"/>
    <w:rsid w:val="00DC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7E118"/>
  <w15:docId w15:val="{855C2552-4BA3-4246-8CA6-925AD103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widowControl w:val="0"/>
      <w:spacing w:before="233" w:after="0" w:line="240" w:lineRule="auto"/>
      <w:ind w:left="119"/>
      <w:outlineLvl w:val="0"/>
    </w:pPr>
    <w:rPr>
      <w:rFonts w:ascii="Tahoma" w:eastAsia="Tahoma" w:hAnsi="Tahoma" w:cs="Tahoma"/>
      <w:b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widowControl w:val="0"/>
      <w:spacing w:before="27" w:after="0" w:line="240" w:lineRule="auto"/>
      <w:ind w:left="110"/>
    </w:pPr>
    <w:rPr>
      <w:rFonts w:ascii="Tahoma" w:eastAsia="Tahoma" w:hAnsi="Tahoma" w:cs="Tahoma"/>
      <w:b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rsid w:val="00C339C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HeaderChar">
    <w:name w:val="Header Char"/>
    <w:basedOn w:val="DefaultParagraphFont"/>
    <w:link w:val="Header"/>
    <w:rsid w:val="00C339CF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Hyperlink">
    <w:name w:val="Hyperlink"/>
    <w:rsid w:val="00C339C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5CF7"/>
    <w:rPr>
      <w:color w:val="605E5C"/>
      <w:shd w:val="clear" w:color="auto" w:fill="E1DFDD"/>
    </w:rPr>
  </w:style>
  <w:style w:type="paragraph" w:customStyle="1" w:styleId="a">
    <w:name w:val="Общий"/>
    <w:basedOn w:val="Normal"/>
    <w:rsid w:val="00BE6654"/>
    <w:pPr>
      <w:suppressAutoHyphens/>
      <w:spacing w:after="0" w:line="240" w:lineRule="auto"/>
      <w:ind w:firstLine="425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table" w:styleId="TableGrid">
    <w:name w:val="Table Grid"/>
    <w:basedOn w:val="TableNormal"/>
    <w:uiPriority w:val="39"/>
    <w:rsid w:val="00BE6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E6654"/>
    <w:rPr>
      <w:color w:val="808080"/>
    </w:rPr>
  </w:style>
  <w:style w:type="paragraph" w:styleId="ListParagraph">
    <w:name w:val="List Paragraph"/>
    <w:basedOn w:val="Normal"/>
    <w:uiPriority w:val="34"/>
    <w:qFormat/>
    <w:rsid w:val="00C106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0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451"/>
    <w:rPr>
      <w:rFonts w:ascii="Tahoma" w:hAnsi="Tahoma" w:cs="Tahoma"/>
      <w:sz w:val="16"/>
      <w:szCs w:val="16"/>
    </w:rPr>
  </w:style>
  <w:style w:type="paragraph" w:customStyle="1" w:styleId="a0">
    <w:name w:val="удк"/>
    <w:basedOn w:val="Normal"/>
    <w:rsid w:val="00970451"/>
    <w:pPr>
      <w:spacing w:after="0" w:line="240" w:lineRule="auto"/>
      <w:ind w:firstLine="284"/>
      <w:jc w:val="both"/>
      <w:outlineLvl w:val="0"/>
    </w:pPr>
    <w:rPr>
      <w:rFonts w:ascii="Arial" w:eastAsia="Times New Roman" w:hAnsi="Arial" w:cs="Times New Roman"/>
      <w:b/>
      <w:sz w:val="16"/>
      <w:szCs w:val="20"/>
      <w:lang w:eastAsia="uk-UA"/>
    </w:rPr>
  </w:style>
  <w:style w:type="paragraph" w:customStyle="1" w:styleId="a1">
    <w:name w:val="автор"/>
    <w:link w:val="a2"/>
    <w:rsid w:val="00970451"/>
    <w:pPr>
      <w:keepNext/>
      <w:spacing w:after="0" w:line="226" w:lineRule="auto"/>
      <w:jc w:val="right"/>
    </w:pPr>
    <w:rPr>
      <w:rFonts w:ascii="Arial" w:eastAsia="Times New Roman" w:hAnsi="Arial" w:cs="Times New Roman"/>
      <w:b/>
      <w:sz w:val="16"/>
      <w:szCs w:val="20"/>
      <w:lang w:eastAsia="uk-UA"/>
    </w:rPr>
  </w:style>
  <w:style w:type="character" w:customStyle="1" w:styleId="a2">
    <w:name w:val="автор Знак"/>
    <w:link w:val="a1"/>
    <w:locked/>
    <w:rsid w:val="00970451"/>
    <w:rPr>
      <w:rFonts w:ascii="Arial" w:eastAsia="Times New Roman" w:hAnsi="Arial" w:cs="Times New Roman"/>
      <w:b/>
      <w:sz w:val="16"/>
      <w:szCs w:val="20"/>
      <w:lang w:val="uk-UA" w:eastAsia="uk-UA"/>
    </w:rPr>
  </w:style>
  <w:style w:type="paragraph" w:customStyle="1" w:styleId="a3">
    <w:name w:val="над"/>
    <w:basedOn w:val="Normal"/>
    <w:rsid w:val="00970451"/>
    <w:pPr>
      <w:spacing w:after="0" w:line="240" w:lineRule="auto"/>
      <w:jc w:val="right"/>
    </w:pPr>
    <w:rPr>
      <w:rFonts w:ascii="Arial" w:eastAsia="Times New Roman" w:hAnsi="Arial" w:cs="Times New Roman"/>
      <w:b/>
      <w:spacing w:val="20"/>
      <w:sz w:val="14"/>
      <w:szCs w:val="20"/>
      <w:lang w:eastAsia="uk-UA"/>
    </w:rPr>
  </w:style>
  <w:style w:type="paragraph" w:customStyle="1" w:styleId="a4">
    <w:name w:val="автор_англ"/>
    <w:basedOn w:val="Normal"/>
    <w:link w:val="a5"/>
    <w:rsid w:val="00970451"/>
    <w:pPr>
      <w:spacing w:after="0" w:line="240" w:lineRule="auto"/>
    </w:pPr>
    <w:rPr>
      <w:rFonts w:ascii="Arial" w:eastAsia="SimSun" w:hAnsi="Arial" w:cs="Times New Roman"/>
      <w:b/>
      <w:sz w:val="14"/>
      <w:szCs w:val="14"/>
      <w:lang w:eastAsia="uk-UA"/>
    </w:rPr>
  </w:style>
  <w:style w:type="character" w:customStyle="1" w:styleId="a5">
    <w:name w:val="автор_англ Знак"/>
    <w:link w:val="a4"/>
    <w:locked/>
    <w:rsid w:val="00970451"/>
    <w:rPr>
      <w:rFonts w:ascii="Arial" w:eastAsia="SimSun" w:hAnsi="Arial" w:cs="Times New Roman"/>
      <w:b/>
      <w:sz w:val="14"/>
      <w:szCs w:val="14"/>
      <w:lang w:val="uk-UA" w:eastAsia="uk-UA"/>
    </w:rPr>
  </w:style>
  <w:style w:type="paragraph" w:customStyle="1" w:styleId="a6">
    <w:name w:val="НАЗВА_англ"/>
    <w:basedOn w:val="Normal"/>
    <w:link w:val="a7"/>
    <w:rsid w:val="00970451"/>
    <w:pPr>
      <w:spacing w:after="0" w:line="240" w:lineRule="auto"/>
      <w:jc w:val="center"/>
    </w:pPr>
    <w:rPr>
      <w:rFonts w:ascii="Arial" w:eastAsia="Times New Roman" w:hAnsi="Arial" w:cs="Arial"/>
      <w:b/>
      <w:caps/>
      <w:sz w:val="18"/>
      <w:szCs w:val="18"/>
      <w:lang w:eastAsia="uk-UA"/>
    </w:rPr>
  </w:style>
  <w:style w:type="character" w:customStyle="1" w:styleId="a7">
    <w:name w:val="НАЗВА_англ Знак"/>
    <w:link w:val="a6"/>
    <w:locked/>
    <w:rsid w:val="00970451"/>
    <w:rPr>
      <w:rFonts w:ascii="Arial" w:eastAsia="Times New Roman" w:hAnsi="Arial" w:cs="Arial"/>
      <w:b/>
      <w:caps/>
      <w:sz w:val="18"/>
      <w:szCs w:val="18"/>
      <w:lang w:val="uk-UA" w:eastAsia="uk-UA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ntion.apa.org/2019-video?_ga=2.201714258.252804532.1677345542-156424454.1677345542" TargetMode="External"/><Relationship Id="rId13" Type="http://schemas.openxmlformats.org/officeDocument/2006/relationships/hyperlink" Target="https://thebigpicture-academicwriting.digi.hansreitzel.d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doi.org/10.1037/ppm000018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.lemberg@rug.nl" TargetMode="External"/><Relationship Id="rId11" Type="http://schemas.openxmlformats.org/officeDocument/2006/relationships/hyperlink" Target="https://convention.apa.org/2019-video?_ga=2.201714258.252804532.1677345542-156424454.1677345542" TargetMode="External"/><Relationship Id="rId5" Type="http://schemas.openxmlformats.org/officeDocument/2006/relationships/hyperlink" Target="mailto:anna.tkach@knu.u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hebigpicture-academicwriting.digi.hansreitzel.d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37/ppm000018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ePvf18Ssks8O+IFOXqSPxjOAgA==">CgMxLjAaHwoBMBIaChgIB0IUCgtBcmlhbCBCbGFjaxIFQXJpYWwyDmgueWFtb2xrdGRhbG4zMghoLmdqZGd4czgAciExWDROcUZCR1h0VHlxVFpBdDdtVFBObk1FM1VXaUlnS3k=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1423</Words>
  <Characters>10887</Characters>
  <Application>Microsoft Office Word</Application>
  <DocSecurity>0</DocSecurity>
  <Lines>201</Lines>
  <Paragraphs>118</Paragraphs>
  <ScaleCrop>false</ScaleCrop>
  <Company>______</Company>
  <LinksUpToDate>false</LinksUpToDate>
  <CharactersWithSpaces>12192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</dc:creator>
  <cp:lastModifiedBy>Dmytro Zatula</cp:lastModifiedBy>
  <cp:revision>14</cp:revision>
  <dcterms:created xsi:type="dcterms:W3CDTF">2024-11-18T08:21:00Z</dcterms:created>
  <dcterms:modified xsi:type="dcterms:W3CDTF">2025-01-22T10:24:00Z</dcterms:modified>
</cp:coreProperties>
</file>